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5D" w:rsidRPr="00CF7F3C" w:rsidRDefault="008F3371" w:rsidP="008B7E5D">
      <w:pPr>
        <w:jc w:val="right"/>
        <w:rPr>
          <w:rFonts w:cstheme="minorHAnsi"/>
          <w:i/>
        </w:rPr>
      </w:pPr>
      <w:r w:rsidRPr="00CF7F3C">
        <w:rPr>
          <w:rFonts w:cstheme="minorHAnsi"/>
        </w:rPr>
        <w:tab/>
      </w:r>
    </w:p>
    <w:p w:rsidR="008B7E5D" w:rsidRPr="00CF7F3C" w:rsidRDefault="008B7E5D" w:rsidP="008B7E5D">
      <w:pPr>
        <w:spacing w:after="0" w:line="240" w:lineRule="auto"/>
        <w:jc w:val="right"/>
        <w:rPr>
          <w:rFonts w:cstheme="minorHAnsi"/>
          <w:i/>
        </w:rPr>
      </w:pPr>
      <w:r w:rsidRPr="00CF7F3C">
        <w:rPr>
          <w:rFonts w:cstheme="minorHAnsi"/>
          <w:i/>
        </w:rPr>
        <w:t>Informacja prasowa, 18 sierpnia 2021</w:t>
      </w:r>
    </w:p>
    <w:p w:rsidR="008B7E5D" w:rsidRPr="00CF7F3C" w:rsidRDefault="008B7E5D" w:rsidP="008B7E5D">
      <w:pPr>
        <w:spacing w:after="0" w:line="240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>Sprzęt, który kreuje trendy w przemyśle</w:t>
      </w:r>
    </w:p>
    <w:p w:rsidR="008B7E5D" w:rsidRPr="00CF7F3C" w:rsidRDefault="008B7E5D" w:rsidP="008B7E5D">
      <w:pPr>
        <w:spacing w:after="0" w:line="240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 xml:space="preserve">Aż 11 produktów zyskało przychylność Sądu Konkursowego i zdobyło Złoty Medal MTP targów ITM INDUSTRY EUROPE 2021. Tą prestiżową nagrodą może pochwalić się także jeden z wystawców targów MODERNLOG. O tych laureatach będzie głośno. To oni wyznaczają nowe standardy. </w:t>
      </w: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7F3C">
        <w:rPr>
          <w:rFonts w:eastAsia="Times New Roman" w:cstheme="minorHAnsi"/>
          <w:lang w:eastAsia="pl-PL"/>
        </w:rPr>
        <w:t>Tradycyjnie, jeszcze przed rozpoczęciem targów ITM INDUSTRY EUROPE, poznajemy laureatów jednej z najbardziej prestiżowych i rozpoznawalnych nagród targowych w naszym kraju - Złotego Medalu MTP. Wyróżnienie przyznawane jest produktom, usługom i rozwiązaniom, które charakteryzują się najwyższą jakością zastosowanych materiałów, innowacyjnych rozwiązań czy też są wytworzone w oparciu o najnowszej klasy technologie dostępne na rynku. </w:t>
      </w:r>
    </w:p>
    <w:p w:rsidR="008B7E5D" w:rsidRPr="00CF7F3C" w:rsidRDefault="00D45509" w:rsidP="008B7E5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7F3C">
        <w:rPr>
          <w:rFonts w:eastAsia="Times New Roman" w:cstheme="minorHAnsi"/>
          <w:i/>
          <w:lang w:eastAsia="pl-PL"/>
        </w:rPr>
        <w:t xml:space="preserve">- </w:t>
      </w:r>
      <w:r w:rsidRPr="00CF7F3C">
        <w:rPr>
          <w:rStyle w:val="Uwydatnienie"/>
          <w:rFonts w:cstheme="minorHAnsi"/>
        </w:rPr>
        <w:t>W tym roku jury miało postawione przed sobą niezwykle ciężkie zadanie. Dyskusje były burzliwe, ponieważ wszystkie zgłoszone produkty reprezentowały ciekawe, nowoczesne rozwiązania. Bardzo nas cieszy fakt, że aż 12 z nich spotkało się z przychylnością kapituły</w:t>
      </w:r>
      <w:r w:rsidRPr="00CF7F3C">
        <w:rPr>
          <w:rFonts w:cstheme="minorHAnsi"/>
        </w:rPr>
        <w:t> - mówi dyrektor targów ITM INDUSTRY EUROPE, Anna Lemańska.</w:t>
      </w:r>
      <w:r w:rsidRPr="00CF7F3C">
        <w:rPr>
          <w:rFonts w:eastAsia="Times New Roman" w:cstheme="minorHAnsi"/>
          <w:lang w:eastAsia="pl-PL"/>
        </w:rPr>
        <w:t xml:space="preserve"> </w:t>
      </w:r>
      <w:r w:rsidR="008B7E5D" w:rsidRPr="00CF7F3C">
        <w:rPr>
          <w:rFonts w:eastAsia="Times New Roman" w:cstheme="minorHAnsi"/>
          <w:lang w:eastAsia="pl-PL"/>
        </w:rPr>
        <w:t>- mówi dyrektor targów ITM INDUSTRY EUROPE, Anna Lemańska.</w:t>
      </w: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F7F3C">
        <w:rPr>
          <w:rFonts w:cstheme="minorHAnsi"/>
        </w:rPr>
        <w:t>Po posiedzeniu Sądu Konkursowego pod przewodnictwem</w:t>
      </w:r>
      <w:r w:rsidRPr="00CF7F3C">
        <w:rPr>
          <w:rFonts w:eastAsia="Times New Roman" w:cstheme="minorHAnsi"/>
          <w:bCs/>
          <w:lang w:eastAsia="pl-PL"/>
        </w:rPr>
        <w:t xml:space="preserve"> prof. dr. hab. inż. Jana Żurka</w:t>
      </w:r>
      <w:r w:rsidRPr="00CF7F3C">
        <w:rPr>
          <w:rFonts w:eastAsia="Times New Roman" w:cstheme="minorHAnsi"/>
          <w:lang w:eastAsia="pl-PL"/>
        </w:rPr>
        <w:t>– Prorektora ds. współpracy z gospodarką, kierownika Zakładu Projektowania Technologii, Instytutu Technologii Mechanicznej, Politechniki Poznańskiej</w:t>
      </w:r>
      <w:r w:rsidRPr="00CF7F3C">
        <w:rPr>
          <w:rFonts w:cstheme="minorHAnsi"/>
        </w:rPr>
        <w:t xml:space="preserve">, Złoty Medal MTP targów ITM INDUSTRY EUROPE 2021 przyznano aż 12 produktom (11 na ITM i 1 na </w:t>
      </w:r>
      <w:proofErr w:type="spellStart"/>
      <w:r w:rsidRPr="00CF7F3C">
        <w:rPr>
          <w:rFonts w:cstheme="minorHAnsi"/>
        </w:rPr>
        <w:t>Modernlog</w:t>
      </w:r>
      <w:proofErr w:type="spellEnd"/>
      <w:r w:rsidRPr="00CF7F3C">
        <w:rPr>
          <w:rFonts w:cstheme="minorHAnsi"/>
        </w:rPr>
        <w:t>). </w:t>
      </w:r>
    </w:p>
    <w:p w:rsidR="00CF7F3C" w:rsidRDefault="00CF7F3C" w:rsidP="008B7E5D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Więcej o nagrodzonych rozwiązaniach będzie można dowiedzieć się na stoiskach laureatów podczas targów ITM INDUSTRY EUROPE w Poznaniu.</w:t>
      </w:r>
    </w:p>
    <w:p w:rsidR="00CF7F3C" w:rsidRDefault="00CF7F3C" w:rsidP="008B7E5D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bookmarkEnd w:id="0"/>
    </w:p>
    <w:p w:rsidR="00CF7F3C" w:rsidRDefault="00CF7F3C" w:rsidP="00CF7F3C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CF7F3C">
        <w:rPr>
          <w:rFonts w:cstheme="minorHAnsi"/>
        </w:rPr>
        <w:t xml:space="preserve">Jeszcze do 26 sierpnia można oddać swój głos </w:t>
      </w:r>
      <w:r w:rsidRPr="00CF7F3C">
        <w:rPr>
          <w:rFonts w:cstheme="minorHAnsi"/>
          <w:shd w:val="clear" w:color="auto" w:fill="FFFFFF"/>
        </w:rPr>
        <w:t>w Konkursie Złoty Medal Wybór Konsumentów.</w:t>
      </w:r>
    </w:p>
    <w:p w:rsidR="00CF7F3C" w:rsidRPr="00CF7F3C" w:rsidRDefault="00CF7F3C" w:rsidP="008B7E5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 xml:space="preserve">Poniżej lista nagrodzonych. </w:t>
      </w: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F7F3C">
        <w:rPr>
          <w:rFonts w:cstheme="minorHAnsi"/>
          <w:b/>
          <w:highlight w:val="lightGray"/>
        </w:rPr>
        <w:t>LISTA NAGRODZONYCH NA TARGACH ITM INDUSTRY EUROPE 2021</w:t>
      </w:r>
      <w:r w:rsidRPr="00CF7F3C">
        <w:rPr>
          <w:rFonts w:cstheme="minorHAnsi"/>
          <w:b/>
        </w:rPr>
        <w:t xml:space="preserve"> </w:t>
      </w:r>
    </w:p>
    <w:p w:rsidR="008B7E5D" w:rsidRPr="00CF7F3C" w:rsidRDefault="008B7E5D" w:rsidP="008B7E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proofErr w:type="spellStart"/>
      <w:r w:rsidRPr="00CF7F3C">
        <w:rPr>
          <w:rFonts w:cstheme="minorHAnsi"/>
          <w:b/>
          <w:color w:val="FF0000"/>
        </w:rPr>
        <w:t>Factory</w:t>
      </w:r>
      <w:proofErr w:type="spellEnd"/>
      <w:r w:rsidRPr="00CF7F3C">
        <w:rPr>
          <w:rFonts w:cstheme="minorHAnsi"/>
          <w:b/>
          <w:color w:val="FF0000"/>
        </w:rPr>
        <w:t xml:space="preserve"> 2.0 NET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OMNI 3D Sp. z o.o.  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10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Najnowsza drukarka </w:t>
      </w:r>
      <w:proofErr w:type="spellStart"/>
      <w:r w:rsidRPr="00CF7F3C">
        <w:rPr>
          <w:rFonts w:cstheme="minorHAnsi"/>
        </w:rPr>
        <w:t>Factory</w:t>
      </w:r>
      <w:proofErr w:type="spellEnd"/>
      <w:r w:rsidRPr="00CF7F3C">
        <w:rPr>
          <w:rFonts w:cstheme="minorHAnsi"/>
        </w:rPr>
        <w:t xml:space="preserve"> 2.0 NET przeznaczona jest do profesjonalnych zastosowań przemysłowych. Maszynę wyróżnia: duża powierzchnia robocza (500x 500x570mm), zamknięta, izolowana i aktywnie grzana komora robocza, wysoka precyzja wymiarowa, automatyczna kalibracja stołu oraz możliwość druku z wykorzystaniem 2 </w:t>
      </w:r>
      <w:proofErr w:type="spellStart"/>
      <w:r w:rsidRPr="00CF7F3C">
        <w:rPr>
          <w:rFonts w:cstheme="minorHAnsi"/>
        </w:rPr>
        <w:t>ekstruderów</w:t>
      </w:r>
      <w:proofErr w:type="spellEnd"/>
      <w:r w:rsidRPr="00CF7F3C">
        <w:rPr>
          <w:rFonts w:cstheme="minorHAnsi"/>
        </w:rPr>
        <w:t>. System ekstruzji, kontrola ciśnienia, specjalnie opracowany obieg powietrza (</w:t>
      </w:r>
      <w:proofErr w:type="spellStart"/>
      <w:r w:rsidRPr="00CF7F3C">
        <w:rPr>
          <w:rFonts w:cstheme="minorHAnsi"/>
        </w:rPr>
        <w:t>Omni</w:t>
      </w:r>
      <w:proofErr w:type="spellEnd"/>
      <w:r w:rsidRPr="00CF7F3C">
        <w:rPr>
          <w:rFonts w:cstheme="minorHAnsi"/>
        </w:rPr>
        <w:t xml:space="preserve"> </w:t>
      </w:r>
      <w:proofErr w:type="spellStart"/>
      <w:r w:rsidRPr="00CF7F3C">
        <w:rPr>
          <w:rFonts w:cstheme="minorHAnsi"/>
        </w:rPr>
        <w:t>Cooling</w:t>
      </w:r>
      <w:proofErr w:type="spellEnd"/>
      <w:r w:rsidRPr="00CF7F3C">
        <w:rPr>
          <w:rFonts w:cstheme="minorHAnsi"/>
        </w:rPr>
        <w:t xml:space="preserve"> System) to cechy wyróżniające ją od innych drukarek 3D. Wykorzystanie systemu </w:t>
      </w:r>
      <w:proofErr w:type="spellStart"/>
      <w:r w:rsidRPr="00CF7F3C">
        <w:rPr>
          <w:rFonts w:cstheme="minorHAnsi"/>
        </w:rPr>
        <w:t>Omni</w:t>
      </w:r>
      <w:proofErr w:type="spellEnd"/>
      <w:r w:rsidRPr="00CF7F3C">
        <w:rPr>
          <w:rFonts w:cstheme="minorHAnsi"/>
        </w:rPr>
        <w:t xml:space="preserve"> Auto </w:t>
      </w:r>
      <w:proofErr w:type="spellStart"/>
      <w:r w:rsidRPr="00CF7F3C">
        <w:rPr>
          <w:rFonts w:cstheme="minorHAnsi"/>
        </w:rPr>
        <w:t>Head</w:t>
      </w:r>
      <w:proofErr w:type="spellEnd"/>
      <w:r w:rsidRPr="00CF7F3C">
        <w:rPr>
          <w:rFonts w:cstheme="minorHAnsi"/>
        </w:rPr>
        <w:t xml:space="preserve"> </w:t>
      </w:r>
      <w:proofErr w:type="spellStart"/>
      <w:r w:rsidRPr="00CF7F3C">
        <w:rPr>
          <w:rFonts w:cstheme="minorHAnsi"/>
        </w:rPr>
        <w:t>Calibration</w:t>
      </w:r>
      <w:proofErr w:type="spellEnd"/>
      <w:r w:rsidRPr="00CF7F3C">
        <w:rPr>
          <w:rFonts w:cstheme="minorHAnsi"/>
        </w:rPr>
        <w:t xml:space="preserve"> System umożliwia bezobsługową możliwość kalibracji maszyny, zaś </w:t>
      </w:r>
      <w:proofErr w:type="spellStart"/>
      <w:r w:rsidRPr="00CF7F3C">
        <w:rPr>
          <w:rFonts w:cstheme="minorHAnsi"/>
        </w:rPr>
        <w:t>Omni</w:t>
      </w:r>
      <w:proofErr w:type="spellEnd"/>
      <w:r w:rsidRPr="00CF7F3C">
        <w:rPr>
          <w:rFonts w:cstheme="minorHAnsi"/>
        </w:rPr>
        <w:t xml:space="preserve"> Web Control pozwala na zdalny podgląd procesu druku 3D oraz zdalne zarządzanie maszyną z poziomu strony internetowej.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 xml:space="preserve">Funkcja </w:t>
      </w:r>
      <w:proofErr w:type="spellStart"/>
      <w:r w:rsidRPr="00CF7F3C">
        <w:rPr>
          <w:rFonts w:cstheme="minorHAnsi"/>
          <w:b/>
          <w:color w:val="FF0000"/>
        </w:rPr>
        <w:t>Sorting</w:t>
      </w:r>
      <w:proofErr w:type="spellEnd"/>
      <w:r w:rsidRPr="00CF7F3C">
        <w:rPr>
          <w:rFonts w:cstheme="minorHAnsi"/>
          <w:b/>
          <w:color w:val="FF0000"/>
        </w:rPr>
        <w:t xml:space="preserve"> Guide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 xml:space="preserve">TRUMPF POLSKA Spółka z ograniczoną odpowiedzialnością Sp.k. - zgłaszający i producent  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80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W dzisiejszych czasach w obróbce blach często brakuje przejrzystości i systematyczności procesów na styku zadań ręcznych i obróbki maszynowej. Czy nie byłoby wspaniale zaoszczędzić czas pracy podczas ręcznego sortowania - zwiększając w ten sposób czas pracy maszyny? Nowa funkcja </w:t>
      </w:r>
      <w:proofErr w:type="spellStart"/>
      <w:r w:rsidRPr="00CF7F3C">
        <w:rPr>
          <w:rFonts w:cstheme="minorHAnsi"/>
        </w:rPr>
        <w:t>Sorting</w:t>
      </w:r>
      <w:proofErr w:type="spellEnd"/>
      <w:r w:rsidRPr="00CF7F3C">
        <w:rPr>
          <w:rFonts w:cstheme="minorHAnsi"/>
        </w:rPr>
        <w:t xml:space="preserve"> Guide to umożliwia: pomaga operatorowi przy wyjmowaniu i sortowaniu detali. Ponadto zaznacza części na ekranie, kodując je kolorami według kolejności, kolejnych procesów lub geometrii. Wyjęte części są automatycznie księgowane. W ten sposób unika się pomyłek - a to oznacza oszczędność czasu i wyższą jakość pracy. 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Mobilne stanowisko do badań właściwości ciekłych metali, stopów, szkieł, żużli i innych substancji w szerokim zakresie temperatury topnienia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 xml:space="preserve">Stowarzyszenie Techniczne Odlewników Polskich Zarząd Główny, </w:t>
      </w:r>
      <w:proofErr w:type="spellStart"/>
      <w:r w:rsidRPr="00CF7F3C">
        <w:rPr>
          <w:rFonts w:cstheme="minorHAnsi"/>
          <w:b/>
        </w:rPr>
        <w:t>MeasLine</w:t>
      </w:r>
      <w:proofErr w:type="spellEnd"/>
      <w:r w:rsidRPr="00CF7F3C">
        <w:rPr>
          <w:rFonts w:cstheme="minorHAnsi"/>
          <w:b/>
        </w:rPr>
        <w:t xml:space="preserve"> sp. z o.o., Instytut Metalurgii i Inżynierii Materiałowej im. Aleksandra </w:t>
      </w:r>
      <w:proofErr w:type="spellStart"/>
      <w:r w:rsidRPr="00CF7F3C">
        <w:rPr>
          <w:rFonts w:cstheme="minorHAnsi"/>
          <w:b/>
        </w:rPr>
        <w:t>Krupkowskiego</w:t>
      </w:r>
      <w:proofErr w:type="spellEnd"/>
      <w:r w:rsidRPr="00CF7F3C">
        <w:rPr>
          <w:rFonts w:cstheme="minorHAnsi"/>
          <w:b/>
        </w:rPr>
        <w:t xml:space="preserve"> Polskiej Akademii Nauk 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6, STOISKO 39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Zgłoszone stanowisko wyróżnia się in plus w praktyce światowej, albowiem osiągane parametry urządzenia przekraczają poziomy dotychczas osiągane. Mobilność umożliwia prowadzenie badań wszędzie tam, gdzie istnieją warunki do poszerzenia zakresu badawczego także o inne testy uzupełniające Stopień wykorzystania rozwiązań innowacyjnych jest szeroki, a przewidziane unikatowe rozwiązania konstrukcyjne pozwalają nie tylko na dotychczasowe wyznaczanie kąta zwilżania i napięcia powierzchniowego, ale także wiele innych istotnych charakterystyk materiałowych. Stanowisko posiada ważne i unikatowe walory eksploatacyjne, sprawdzone w poprzednich autorskich rozwiązaniach tego typu. Urządzenie powstało w ramach realizacji projektu finansowanego przez Narodowe Centrum Nauki (Nr UMO-2018/31/B/ST8/01172) (18.18.170.06640). Jest przedmiotem zgłoszenia patentowego (numer rejestracyjny CTT-owi.622-14/20).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SHP ND-PNWE-AE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 xml:space="preserve">AJAN Polska - zgłaszający,  AEP Rybicki Zwada </w:t>
      </w:r>
      <w:proofErr w:type="spellStart"/>
      <w:r w:rsidRPr="00CF7F3C">
        <w:rPr>
          <w:rFonts w:cstheme="minorHAnsi"/>
          <w:b/>
        </w:rPr>
        <w:t>Sp.J</w:t>
      </w:r>
      <w:proofErr w:type="spellEnd"/>
      <w:r w:rsidRPr="00CF7F3C">
        <w:rPr>
          <w:rFonts w:cstheme="minorHAnsi"/>
          <w:b/>
        </w:rPr>
        <w:t>. -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63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Przecinarka plazmowa SHP260 ND-PNWE-AE to zaawansowane urządzenie przeznaczone do cięcia stali za pomocą łuku plazmowego. Wyjątkowość przecinarki SHP260 polega na wykonaniu jej w 94% przez firmę AJAN ELEKTROINIK a nie składania z ogólnodostępnych podzespołów. Wiedza którą dysponuje firma przysłużyła się do ciągłego rozwoju tej technologii, a najnowsza jej wersja (SHP260 ND-PNWE-AE) dysponuje już stałym nadzorem wizualnym nad zużyciem najważniejszych komponentów maszyny. Nadzór ten odbywa się online lub offline i przyczynia się do zwiększenia produkcyjności (średnio o 7%) oraz redukcji kosztów bezpośrednich oraz pośrednich. Wysokość oszczędności zależy od indywidualnej analizy kosztów cięcia którą AJAN POLSKA może wykonać dla osoby zainteresowanej. Przykładowe wyliczenia dostępne są na stronie producenta. </w:t>
      </w:r>
    </w:p>
    <w:p w:rsidR="008B7E5D" w:rsidRPr="00CF7F3C" w:rsidRDefault="008B7E5D" w:rsidP="008B7E5D">
      <w:pPr>
        <w:spacing w:after="0" w:line="240" w:lineRule="auto"/>
        <w:rPr>
          <w:rFonts w:cstheme="minorHAnsi"/>
          <w:color w:val="FF0000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System TAWERS SUPER ACTIVE WIRE ALUMINIUM z funkcją PULS STICH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TECHNIKA SPAWALNICZA Sp. z o.o. - zgłaszający, PANASONIC ROBOT AND WELDING SYSTEMS EUROPE A DIVISION OF PANASONIC INDUSTRY EUROPE GmbH -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64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Zrobotyzowany system spawalniczy z aktywnym podawaniem drutu z funkcją PULS STICH pozwalającą na osiągnięcie bardzo wysokiej jakości spoiny przy spawaniu aluminium i jego stopów. Funkcja ta pozwala na osiągnięcie wysokiej jakości spawania metodą TIG ze znacznie większymi prędkościami (do 1,8 m/min) przy </w:t>
      </w:r>
      <w:r w:rsidRPr="00CF7F3C">
        <w:rPr>
          <w:rFonts w:cstheme="minorHAnsi"/>
        </w:rPr>
        <w:lastRenderedPageBreak/>
        <w:t>utrzymaniu stabilności procesu. System TAWERS SUPER ACTIVE WIRE ALUMINIUM z funkcją PULS STICH znajduje szerokie zastosowanie w spawaniu produktów wymagających wysokiej jakości estetyki spoin takich jak aluminiowe ramy rowerowe, zbiorniki, rusztowania, schody i wiele innych.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UN-500M 3D PRINTER myjnia komorowa natryskowo-ultradźwiękowa z koszem obrotowym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 xml:space="preserve">ULTRON Zakład Urządzeń Elektronicznych Krzysztof </w:t>
      </w:r>
      <w:proofErr w:type="spellStart"/>
      <w:r w:rsidRPr="00CF7F3C">
        <w:rPr>
          <w:rFonts w:cstheme="minorHAnsi"/>
          <w:b/>
        </w:rPr>
        <w:t>Krankowski</w:t>
      </w:r>
      <w:proofErr w:type="spellEnd"/>
      <w:r w:rsidRPr="00CF7F3C">
        <w:rPr>
          <w:rFonts w:cstheme="minorHAnsi"/>
          <w:b/>
        </w:rPr>
        <w:t xml:space="preserve"> 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111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UN-500M 3D PRINTER to nowoczesna myjnia natryskowo-ultradźwiękowa zaprojektowana do mycia detali w roztworach wodnych. Innowacyjny system wysokiego ciśnienia oraz kilku częstotliwości ultradźwięków z zapewnieniem przepływu cieczy w zanurzeniu zapewnia najwyższy poziom czystości w najkrótszym czasie. Kosz procesowy może się obracać lub wykonywać ruchy wahadłowe. Urządzenie wykonuje zabiegi mycia, płukania i suszenia. Proces jest w pełni automatyczny, konfigurowalny ze sterownika. Zaawansowane systemy wydłużają żywotność kąpieli oraz minimalizują pobór energii elektrycznej.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Innowacyjne narzędzia do maszyn leśnych z modyfikowaną powierzchnią roboczą elementów odlewanych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Sieć Badawcza ŁUKASIEWICZ - Krakowski Instytut Technologiczny 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6, STOISKO 37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107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Wdrożenie, nowoopracowanych w ramach projektu, elementów roboczych jest szansą dla komercyjnego partnera projektu na uzyskanie przewagi ekonomicznej i technologicznej nad konkurencją krajową, a przede wszystkim na globalnym rynku narzędzi leśnych. Współpraca pomiędzy Firmą P.I.O. SPECODLEW, a jednostkami naukowymi, w ramach utworzonego Konsorcjum, wyeliminowała barierę ograniczającą implementacje kosztownych technologii w celu zaoferowania ekonomicznie uzasadnionych rozwiązań technologicznych.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color w:val="FF0000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 xml:space="preserve">Innowacyjne proekologiczne żywice </w:t>
      </w:r>
      <w:proofErr w:type="spellStart"/>
      <w:r w:rsidRPr="00CF7F3C">
        <w:rPr>
          <w:rFonts w:cstheme="minorHAnsi"/>
          <w:b/>
          <w:color w:val="FF0000"/>
        </w:rPr>
        <w:t>furfurylowe</w:t>
      </w:r>
      <w:proofErr w:type="spellEnd"/>
      <w:r w:rsidRPr="00CF7F3C">
        <w:rPr>
          <w:rFonts w:cstheme="minorHAnsi"/>
          <w:b/>
          <w:color w:val="FF0000"/>
        </w:rPr>
        <w:t xml:space="preserve"> </w:t>
      </w:r>
      <w:proofErr w:type="spellStart"/>
      <w:r w:rsidRPr="00CF7F3C">
        <w:rPr>
          <w:rFonts w:cstheme="minorHAnsi"/>
          <w:b/>
          <w:color w:val="FF0000"/>
        </w:rPr>
        <w:t>Żywfur</w:t>
      </w:r>
      <w:proofErr w:type="spellEnd"/>
      <w:r w:rsidRPr="00CF7F3C">
        <w:rPr>
          <w:rFonts w:cstheme="minorHAnsi"/>
          <w:b/>
          <w:color w:val="FF0000"/>
        </w:rPr>
        <w:t xml:space="preserve"> EKO® dedykowane dla przemysłu odlewniczego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Sieć Badawcza ŁUKASIEWICZ - Krakowski Instytut Technologiczny 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6, STOISKO 37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107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Seria </w:t>
      </w:r>
      <w:proofErr w:type="spellStart"/>
      <w:r w:rsidRPr="00CF7F3C">
        <w:rPr>
          <w:rFonts w:cstheme="minorHAnsi"/>
        </w:rPr>
        <w:t>Żywfur</w:t>
      </w:r>
      <w:proofErr w:type="spellEnd"/>
      <w:r w:rsidRPr="00CF7F3C">
        <w:rPr>
          <w:rFonts w:cstheme="minorHAnsi"/>
        </w:rPr>
        <w:t xml:space="preserve"> EKO® to innowacyjne, proekologiczne żywice </w:t>
      </w:r>
      <w:proofErr w:type="spellStart"/>
      <w:r w:rsidRPr="00CF7F3C">
        <w:rPr>
          <w:rFonts w:cstheme="minorHAnsi"/>
        </w:rPr>
        <w:t>furfurylowe</w:t>
      </w:r>
      <w:proofErr w:type="spellEnd"/>
      <w:r w:rsidRPr="00CF7F3C">
        <w:rPr>
          <w:rFonts w:cstheme="minorHAnsi"/>
        </w:rPr>
        <w:t xml:space="preserve"> stosowane jako spoiwo do sporządzania samoutwardzalnych mas formierskich, utwardzanych metodą bez ogrzewania „no </w:t>
      </w:r>
      <w:proofErr w:type="spellStart"/>
      <w:r w:rsidRPr="00CF7F3C">
        <w:rPr>
          <w:rFonts w:cstheme="minorHAnsi"/>
        </w:rPr>
        <w:t>bake</w:t>
      </w:r>
      <w:proofErr w:type="spellEnd"/>
      <w:r w:rsidRPr="00CF7F3C">
        <w:rPr>
          <w:rFonts w:cstheme="minorHAnsi"/>
        </w:rPr>
        <w:t xml:space="preserve">”. Żywice </w:t>
      </w:r>
      <w:proofErr w:type="spellStart"/>
      <w:r w:rsidRPr="00CF7F3C">
        <w:rPr>
          <w:rFonts w:cstheme="minorHAnsi"/>
        </w:rPr>
        <w:t>Żywfur</w:t>
      </w:r>
      <w:proofErr w:type="spellEnd"/>
      <w:r w:rsidRPr="00CF7F3C">
        <w:rPr>
          <w:rFonts w:cstheme="minorHAnsi"/>
        </w:rPr>
        <w:t xml:space="preserve"> EKO® są przeznaczone do sporządzania mas formierskich i rdzeniowych z możliwością stosowania mas regenerowanych dla odlewów żeliwnych. Implementacja produktów </w:t>
      </w:r>
      <w:proofErr w:type="spellStart"/>
      <w:r w:rsidRPr="00CF7F3C">
        <w:rPr>
          <w:rFonts w:cstheme="minorHAnsi"/>
        </w:rPr>
        <w:t>Żywfur</w:t>
      </w:r>
      <w:proofErr w:type="spellEnd"/>
      <w:r w:rsidRPr="00CF7F3C">
        <w:rPr>
          <w:rFonts w:cstheme="minorHAnsi"/>
        </w:rPr>
        <w:t xml:space="preserve"> EKO® obniża emisje alkoholu </w:t>
      </w:r>
      <w:proofErr w:type="spellStart"/>
      <w:r w:rsidRPr="00CF7F3C">
        <w:rPr>
          <w:rFonts w:cstheme="minorHAnsi"/>
        </w:rPr>
        <w:t>furfurylowego</w:t>
      </w:r>
      <w:proofErr w:type="spellEnd"/>
      <w:r w:rsidRPr="00CF7F3C">
        <w:rPr>
          <w:rFonts w:cstheme="minorHAnsi"/>
        </w:rPr>
        <w:t xml:space="preserve"> i formaldehydu w procesach formowania, oczyszczania, wybijania oraz zalewania odlewów.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Narzędzia metaliczno-diamentowe bez udziału materiałów krytycznych do obróbki powierzchni betonowych i kamiennych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 xml:space="preserve">Zaoferowanie na rynku innowacyjnych narzędzi metaliczno-diamentowych powoduje znaczącą zmianę pod względem następujących parametrów: koszt wytworzenia narzędzi na bazie opracowanych materiałów stanowi ok. 60% kosztów wytworzenia narzędzi z zastosowaniem materiałów komercyjnych; zmniejszenie </w:t>
      </w:r>
      <w:r w:rsidRPr="00CF7F3C">
        <w:rPr>
          <w:rFonts w:cstheme="minorHAnsi"/>
        </w:rPr>
        <w:lastRenderedPageBreak/>
        <w:t xml:space="preserve">ryzyka </w:t>
      </w:r>
      <w:proofErr w:type="spellStart"/>
      <w:r w:rsidRPr="00CF7F3C">
        <w:rPr>
          <w:rFonts w:cstheme="minorHAnsi"/>
        </w:rPr>
        <w:t>zachorowań</w:t>
      </w:r>
      <w:proofErr w:type="spellEnd"/>
      <w:r w:rsidRPr="00CF7F3C">
        <w:rPr>
          <w:rFonts w:cstheme="minorHAnsi"/>
        </w:rPr>
        <w:t xml:space="preserve"> na raka pracowników zatrudnionych przy produkcji narzędzi przez wyeliminowanie Co; zwiększenie wydajności i trwałości narzędzi dzięki modyfikacji składu fazowego osnowy.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 xml:space="preserve">Prototypowa linia do produkcji burgera z </w:t>
      </w:r>
      <w:proofErr w:type="spellStart"/>
      <w:r w:rsidRPr="00CF7F3C">
        <w:rPr>
          <w:rFonts w:cstheme="minorHAnsi"/>
          <w:b/>
          <w:color w:val="FF0000"/>
        </w:rPr>
        <w:t>wysortu</w:t>
      </w:r>
      <w:proofErr w:type="spellEnd"/>
      <w:r w:rsidRPr="00CF7F3C">
        <w:rPr>
          <w:rFonts w:cstheme="minorHAnsi"/>
          <w:b/>
          <w:color w:val="FF0000"/>
        </w:rPr>
        <w:t xml:space="preserve"> warzywnego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Sieć Badawcza Łukasiewicz - Przemysłowy Instytut Maszyn Rolniczych-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107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Linia powstała w ramach projektu, którego głównym celem było opracowanie innowacyjnej metody obliczania śladu węglowego dla procesu produkcyjnego burgerów powstałych z odpadów poprodukcyjnych w zakładach zajmujących się mrożeniem warzyw. Technologia zagospodarowania odpadów pozwala na zmniejszenie marnowania zasobów naturalnych oraz negatywnego wpływu produkcji spożywczej na środowisko.</w:t>
      </w:r>
    </w:p>
    <w:p w:rsidR="008B7E5D" w:rsidRPr="00CF7F3C" w:rsidRDefault="008B7E5D" w:rsidP="008B7E5D">
      <w:pPr>
        <w:spacing w:after="0" w:line="240" w:lineRule="auto"/>
        <w:rPr>
          <w:rFonts w:cstheme="minorHAnsi"/>
          <w:color w:val="FF0000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 xml:space="preserve">Rdzeń magnetycznie miękki </w:t>
      </w:r>
      <w:proofErr w:type="spellStart"/>
      <w:r w:rsidRPr="00CF7F3C">
        <w:rPr>
          <w:rFonts w:cstheme="minorHAnsi"/>
          <w:b/>
          <w:color w:val="FF0000"/>
        </w:rPr>
        <w:t>bezszczotkowego</w:t>
      </w:r>
      <w:proofErr w:type="spellEnd"/>
      <w:r w:rsidRPr="00CF7F3C">
        <w:rPr>
          <w:rFonts w:cstheme="minorHAnsi"/>
          <w:b/>
          <w:color w:val="FF0000"/>
        </w:rPr>
        <w:t>, stałoprądowego silnika elektrycznego z magnesami trwałymi małej mocy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Sieć Badawcza ŁUKASIEWICZ - Instytut Metali Nieżelaznych - zgłaszający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5, STOISKO 107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Rdzeń magnetycznie miękki o konstrukcji hybrydowej pozwala zapewnić w nim możliwie najniższe straty mocy, przy jego małych gabarytach i małej masie. Rozwiązanie takie może mieć zastosowanie w nowoczesnych urządzeniach, w których dużą rolę odgrywa miniaturyzacja układu napędowego oraz energooszczędność. Rdzeń hybrydowy został zastosowany w stojanie pompy wspomagania pracy serca RH ROT powstałej w Fundacji Rozwoju Kardiochirurgii im. Prof. Zbigniewa Religi w Zabrzu.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  <w:highlight w:val="lightGray"/>
        </w:rPr>
        <w:t xml:space="preserve">LISTA NAGRODZONYCH NA TARGACH MODERNLOG 2021 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  <w:color w:val="FF0000"/>
        </w:rPr>
      </w:pPr>
      <w:r w:rsidRPr="00CF7F3C">
        <w:rPr>
          <w:rFonts w:cstheme="minorHAnsi"/>
          <w:b/>
          <w:color w:val="FF0000"/>
        </w:rPr>
        <w:t>ALVO® Ultra V-bot – mobilny robot dezynfekujący UV-C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 xml:space="preserve">PPH </w:t>
      </w:r>
      <w:proofErr w:type="spellStart"/>
      <w:r w:rsidRPr="00CF7F3C">
        <w:rPr>
          <w:rFonts w:cstheme="minorHAnsi"/>
          <w:b/>
        </w:rPr>
        <w:t>Wobit</w:t>
      </w:r>
      <w:proofErr w:type="spellEnd"/>
      <w:r w:rsidRPr="00CF7F3C">
        <w:rPr>
          <w:rFonts w:cstheme="minorHAnsi"/>
          <w:b/>
        </w:rPr>
        <w:t xml:space="preserve"> s.c. E.K.J. </w:t>
      </w:r>
      <w:proofErr w:type="spellStart"/>
      <w:r w:rsidRPr="00CF7F3C">
        <w:rPr>
          <w:rFonts w:cstheme="minorHAnsi"/>
          <w:b/>
        </w:rPr>
        <w:t>Ober</w:t>
      </w:r>
      <w:proofErr w:type="spellEnd"/>
      <w:r w:rsidRPr="00CF7F3C">
        <w:rPr>
          <w:rFonts w:cstheme="minorHAnsi"/>
          <w:b/>
        </w:rPr>
        <w:t>- zgłaszający i producent</w:t>
      </w:r>
    </w:p>
    <w:p w:rsidR="008B7E5D" w:rsidRPr="00CF7F3C" w:rsidRDefault="008B7E5D" w:rsidP="008B7E5D">
      <w:pPr>
        <w:spacing w:after="0" w:line="240" w:lineRule="auto"/>
        <w:rPr>
          <w:rFonts w:cstheme="minorHAnsi"/>
          <w:b/>
        </w:rPr>
      </w:pPr>
      <w:r w:rsidRPr="00CF7F3C">
        <w:rPr>
          <w:rFonts w:cstheme="minorHAnsi"/>
          <w:b/>
        </w:rPr>
        <w:t>PAWILON 6, STOISKO 7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  <w:r w:rsidRPr="00CF7F3C">
        <w:rPr>
          <w:rFonts w:cstheme="minorHAnsi"/>
        </w:rPr>
        <w:t>ALVO® Ultra V-bot to mobilny robot dezynfekujący UV-C zapewniający wysokiej jakości proces odkażania, ułatwiając tworzenie i realizację dokładniejszych planów higieny w różnych lokalizacjach, nie tylko w szpitalach. W ALVO® Ultra V-bot zastosowana jest technologia światła UV-C, niszcząca kwas nukleinowy (DNA) groźnych patogenów chorobotwórczych, w tym SARS-</w:t>
      </w:r>
      <w:proofErr w:type="spellStart"/>
      <w:r w:rsidRPr="00CF7F3C">
        <w:rPr>
          <w:rFonts w:cstheme="minorHAnsi"/>
        </w:rPr>
        <w:t>CoV</w:t>
      </w:r>
      <w:proofErr w:type="spellEnd"/>
      <w:r w:rsidRPr="00CF7F3C">
        <w:rPr>
          <w:rFonts w:cstheme="minorHAnsi"/>
        </w:rPr>
        <w:t>- 2. Dekontaminacja jest kontrolowana zdalnie, a robot po zaprogramowaniu może pracować autonomicznie.</w:t>
      </w:r>
    </w:p>
    <w:p w:rsidR="008B7E5D" w:rsidRPr="00CF7F3C" w:rsidRDefault="008B7E5D" w:rsidP="008B7E5D">
      <w:pPr>
        <w:spacing w:after="0" w:line="240" w:lineRule="auto"/>
        <w:rPr>
          <w:rFonts w:cstheme="minorHAnsi"/>
        </w:rPr>
      </w:pPr>
    </w:p>
    <w:p w:rsidR="008B7E5D" w:rsidRPr="00CF7F3C" w:rsidRDefault="008B7E5D" w:rsidP="008B7E5D">
      <w:pPr>
        <w:spacing w:line="288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>Wszystkie przyznane Złote Medale MTP są równoważne.</w:t>
      </w:r>
    </w:p>
    <w:p w:rsidR="008B7E5D" w:rsidRPr="00CF7F3C" w:rsidRDefault="008B7E5D" w:rsidP="008B7E5D">
      <w:pPr>
        <w:spacing w:line="288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 xml:space="preserve">Targi ITMINDUSTRY EUROPE, </w:t>
      </w:r>
      <w:proofErr w:type="spellStart"/>
      <w:r w:rsidRPr="00CF7F3C">
        <w:rPr>
          <w:rFonts w:cstheme="minorHAnsi"/>
          <w:b/>
        </w:rPr>
        <w:t>Subcontracting</w:t>
      </w:r>
      <w:proofErr w:type="spellEnd"/>
      <w:r w:rsidRPr="00CF7F3C">
        <w:rPr>
          <w:rFonts w:cstheme="minorHAnsi"/>
          <w:b/>
        </w:rPr>
        <w:t xml:space="preserve">, </w:t>
      </w:r>
      <w:proofErr w:type="spellStart"/>
      <w:r w:rsidRPr="00CF7F3C">
        <w:rPr>
          <w:rFonts w:cstheme="minorHAnsi"/>
          <w:b/>
        </w:rPr>
        <w:t>Modernlog</w:t>
      </w:r>
      <w:proofErr w:type="spellEnd"/>
      <w:r w:rsidRPr="00CF7F3C">
        <w:rPr>
          <w:rFonts w:cstheme="minorHAnsi"/>
          <w:b/>
        </w:rPr>
        <w:t xml:space="preserve">, 3D Solutions, </w:t>
      </w:r>
      <w:proofErr w:type="spellStart"/>
      <w:r w:rsidRPr="00CF7F3C">
        <w:rPr>
          <w:rFonts w:cstheme="minorHAnsi"/>
          <w:b/>
        </w:rPr>
        <w:t>Focast</w:t>
      </w:r>
      <w:proofErr w:type="spellEnd"/>
      <w:r w:rsidRPr="00CF7F3C">
        <w:rPr>
          <w:rFonts w:cstheme="minorHAnsi"/>
          <w:b/>
        </w:rPr>
        <w:t xml:space="preserve">, Bezpieczeństwo Pracy w Przemyśle potrwają od 31 sierpnia do 3 września. </w:t>
      </w:r>
    </w:p>
    <w:p w:rsidR="008B7E5D" w:rsidRPr="00CF7F3C" w:rsidRDefault="008B7E5D" w:rsidP="008B7E5D">
      <w:pPr>
        <w:spacing w:line="288" w:lineRule="auto"/>
        <w:jc w:val="both"/>
        <w:rPr>
          <w:rFonts w:cstheme="minorHAnsi"/>
          <w:b/>
        </w:rPr>
      </w:pPr>
      <w:r w:rsidRPr="00CF7F3C">
        <w:rPr>
          <w:rFonts w:cstheme="minorHAnsi"/>
          <w:b/>
        </w:rPr>
        <w:t xml:space="preserve">Więcej informacji: </w:t>
      </w:r>
      <w:hyperlink r:id="rId7" w:history="1">
        <w:r w:rsidRPr="00CF7F3C">
          <w:rPr>
            <w:rStyle w:val="Hipercze"/>
            <w:rFonts w:cstheme="minorHAnsi"/>
            <w:b/>
          </w:rPr>
          <w:t>www.-itm-europe.pl</w:t>
        </w:r>
      </w:hyperlink>
    </w:p>
    <w:p w:rsidR="008F3371" w:rsidRPr="00CF7F3C" w:rsidRDefault="008F3371" w:rsidP="008F3371">
      <w:pPr>
        <w:tabs>
          <w:tab w:val="left" w:pos="1545"/>
        </w:tabs>
        <w:rPr>
          <w:rFonts w:cstheme="minorHAnsi"/>
        </w:rPr>
      </w:pPr>
    </w:p>
    <w:p w:rsidR="00CF7F3C" w:rsidRPr="00CF7F3C" w:rsidRDefault="00CF7F3C" w:rsidP="008F3371">
      <w:pPr>
        <w:tabs>
          <w:tab w:val="left" w:pos="1545"/>
        </w:tabs>
        <w:rPr>
          <w:rFonts w:cstheme="minorHAnsi"/>
        </w:rPr>
        <w:sectPr w:rsidR="00CF7F3C" w:rsidRPr="00CF7F3C" w:rsidSect="008F3371">
          <w:headerReference w:type="default" r:id="rId8"/>
          <w:footerReference w:type="default" r:id="rId9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281EAC" w:rsidRPr="00CF7F3C" w:rsidRDefault="00281EAC" w:rsidP="008B7E5D">
      <w:pPr>
        <w:rPr>
          <w:rFonts w:cstheme="minorHAnsi"/>
        </w:rPr>
      </w:pPr>
    </w:p>
    <w:sectPr w:rsidR="00281EAC" w:rsidRPr="00CF7F3C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225D7A91" wp14:editId="7733BE80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7202CB0" wp14:editId="485F1CE6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076F169E" wp14:editId="4BC36744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313D26"/>
    <w:rsid w:val="00442198"/>
    <w:rsid w:val="007560E3"/>
    <w:rsid w:val="008B251D"/>
    <w:rsid w:val="008B7E5D"/>
    <w:rsid w:val="008F3371"/>
    <w:rsid w:val="00CF7F3C"/>
    <w:rsid w:val="00D45509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7E5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5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7E5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5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-itm-europ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4</cp:revision>
  <dcterms:created xsi:type="dcterms:W3CDTF">2021-08-18T13:01:00Z</dcterms:created>
  <dcterms:modified xsi:type="dcterms:W3CDTF">2021-08-19T08:36:00Z</dcterms:modified>
</cp:coreProperties>
</file>