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B5" w:rsidRPr="00C67E9B" w:rsidRDefault="00EC4EB5" w:rsidP="00EC4EB5">
      <w:pPr>
        <w:pStyle w:val="GrupaMTP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67E9B">
        <w:rPr>
          <w:rFonts w:asciiTheme="minorHAnsi" w:hAnsiTheme="minorHAnsi" w:cstheme="minorHAnsi"/>
          <w:i/>
          <w:sz w:val="22"/>
          <w:szCs w:val="22"/>
        </w:rPr>
        <w:t>Informacja prasowa, 30 marca. 2021 r.</w:t>
      </w:r>
    </w:p>
    <w:p w:rsidR="00EC4EB5" w:rsidRPr="00C67E9B" w:rsidRDefault="00EC4EB5" w:rsidP="00EC4EB5">
      <w:pPr>
        <w:pStyle w:val="GrupaMTP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C4EB5" w:rsidRPr="00C67E9B" w:rsidRDefault="00EC4EB5" w:rsidP="00EC4E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E9B">
        <w:rPr>
          <w:rFonts w:asciiTheme="minorHAnsi" w:hAnsiTheme="minorHAnsi" w:cstheme="minorHAnsi"/>
          <w:b/>
          <w:sz w:val="22"/>
          <w:szCs w:val="22"/>
        </w:rPr>
        <w:t>Automatyzacja i cyfryzacja bez mitów</w:t>
      </w:r>
    </w:p>
    <w:p w:rsidR="00EC4EB5" w:rsidRDefault="00EC4EB5" w:rsidP="00EC4E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E9B">
        <w:rPr>
          <w:rFonts w:asciiTheme="minorHAnsi" w:hAnsiTheme="minorHAnsi" w:cstheme="minorHAnsi"/>
          <w:b/>
          <w:sz w:val="22"/>
          <w:szCs w:val="22"/>
        </w:rPr>
        <w:t xml:space="preserve">DMG MORI, KUKA, POLARIS ENGINEERING i SANDVIK COROMANT angażują się we wspólny projekt, który ma na celu popularyzację idei przemysłu 4.0 wśród średnich i małych przedsiębiorstw produkcyjnych w Polsce. W ramach tej inicjatywy 13 kwietnia 2021 r. odbędzie się wydarzenie online pt. „Automatyzacja i cyfryzacja dla każdego”, na które już teraz można się bezpłatnie zarejestrować. W roli organizatora występują targi ITM </w:t>
      </w:r>
      <w:proofErr w:type="spellStart"/>
      <w:r w:rsidRPr="00C67E9B">
        <w:rPr>
          <w:rFonts w:asciiTheme="minorHAnsi" w:hAnsiTheme="minorHAnsi" w:cstheme="minorHAnsi"/>
          <w:b/>
          <w:sz w:val="22"/>
          <w:szCs w:val="22"/>
        </w:rPr>
        <w:t>Industry</w:t>
      </w:r>
      <w:proofErr w:type="spellEnd"/>
      <w:r w:rsidRPr="00C67E9B">
        <w:rPr>
          <w:rFonts w:asciiTheme="minorHAnsi" w:hAnsiTheme="minorHAnsi" w:cstheme="minorHAnsi"/>
          <w:b/>
          <w:sz w:val="22"/>
          <w:szCs w:val="22"/>
        </w:rPr>
        <w:t xml:space="preserve"> Europe. </w:t>
      </w:r>
    </w:p>
    <w:p w:rsidR="00EC4EB5" w:rsidRPr="00C67E9B" w:rsidRDefault="00EC4EB5" w:rsidP="00EC4EB5">
      <w:pPr>
        <w:pStyle w:val="GrupaMTP"/>
        <w:jc w:val="both"/>
      </w:pPr>
    </w:p>
    <w:p w:rsidR="00EC4EB5" w:rsidRPr="00C67E9B" w:rsidRDefault="00EC4EB5" w:rsidP="00EC4EB5">
      <w:pPr>
        <w:jc w:val="both"/>
        <w:rPr>
          <w:rFonts w:asciiTheme="minorHAnsi" w:hAnsiTheme="minorHAnsi" w:cstheme="minorHAnsi"/>
          <w:sz w:val="22"/>
          <w:szCs w:val="22"/>
        </w:rPr>
      </w:pPr>
      <w:r w:rsidRPr="00C67E9B">
        <w:rPr>
          <w:rFonts w:asciiTheme="minorHAnsi" w:hAnsiTheme="minorHAnsi" w:cstheme="minorHAnsi"/>
          <w:sz w:val="22"/>
          <w:szCs w:val="22"/>
        </w:rPr>
        <w:t xml:space="preserve">Choć przemysł 4.0 jest tematem wielu spotkań i </w:t>
      </w:r>
      <w:proofErr w:type="spellStart"/>
      <w:r w:rsidRPr="00C67E9B">
        <w:rPr>
          <w:rFonts w:asciiTheme="minorHAnsi" w:hAnsiTheme="minorHAnsi" w:cstheme="minorHAnsi"/>
          <w:sz w:val="22"/>
          <w:szCs w:val="22"/>
        </w:rPr>
        <w:t>webinarów</w:t>
      </w:r>
      <w:proofErr w:type="spellEnd"/>
      <w:r w:rsidRPr="00C67E9B">
        <w:rPr>
          <w:rFonts w:asciiTheme="minorHAnsi" w:hAnsiTheme="minorHAnsi" w:cstheme="minorHAnsi"/>
          <w:sz w:val="22"/>
          <w:szCs w:val="22"/>
        </w:rPr>
        <w:t xml:space="preserve">, to rzadziej mówi się o nim w kontekście małych i średnich przedsiębiorstw przemysłowych. Zmienić to chcą liderzy rynku, DMG MORI, KUKA, POLARIS ENGINEERING i SANDVIK COROMANT, którzy połączyli w tym zakresie siły z organizatorami targów ITM </w:t>
      </w:r>
      <w:proofErr w:type="spellStart"/>
      <w:r w:rsidRPr="00C67E9B">
        <w:rPr>
          <w:rFonts w:asciiTheme="minorHAnsi" w:hAnsiTheme="minorHAnsi" w:cstheme="minorHAnsi"/>
          <w:sz w:val="22"/>
          <w:szCs w:val="22"/>
        </w:rPr>
        <w:t>Industry</w:t>
      </w:r>
      <w:proofErr w:type="spellEnd"/>
      <w:r w:rsidRPr="00C67E9B">
        <w:rPr>
          <w:rFonts w:asciiTheme="minorHAnsi" w:hAnsiTheme="minorHAnsi" w:cstheme="minorHAnsi"/>
          <w:sz w:val="22"/>
          <w:szCs w:val="22"/>
        </w:rPr>
        <w:t xml:space="preserve"> Europe. </w:t>
      </w:r>
    </w:p>
    <w:p w:rsidR="00EC4EB5" w:rsidRPr="00C67E9B" w:rsidRDefault="00EC4EB5" w:rsidP="00EC4E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E9B">
        <w:rPr>
          <w:rFonts w:asciiTheme="minorHAnsi" w:hAnsiTheme="minorHAnsi" w:cstheme="minorHAnsi"/>
          <w:i/>
          <w:sz w:val="22"/>
          <w:szCs w:val="22"/>
        </w:rPr>
        <w:t xml:space="preserve">– </w:t>
      </w:r>
      <w:r w:rsidRPr="00C67E9B">
        <w:rPr>
          <w:rFonts w:asciiTheme="minorHAnsi" w:hAnsiTheme="minorHAnsi" w:cstheme="minorHAnsi"/>
          <w:i/>
          <w:iCs/>
          <w:sz w:val="22"/>
          <w:szCs w:val="22"/>
        </w:rPr>
        <w:t xml:space="preserve">Termin „czwarta rewolucja przemysłowa” to w oryginale INDUSTRIE 4.0. Pojęcie, strategia, która powstała zaledwie kilkanaście lat temu w Niemczech. Strategia ta ma na celu dynamiczny rozwój gospodarczy w oparciu o transformację przemysłu. Choć główne zmiany dotyczą między innymi rozwoju przemysłu w oparciu o „automatyzację i cyfryzację produkcji” to celem nadrzędnym jest szybki rozwój społeczny i technologiczny uczestników wspomnianej rewolucji. W szerszym zakresie INDUSTRIE 4.0 obejmuje standaryzację, technologię i badania, bezpieczeństwo systemów sieciowych, zmianę i dostosowanie warunków prawnych do nowych wyzwań, nowe cyfrowe modele biznesowe, ekologię – </w:t>
      </w:r>
      <w:r w:rsidRPr="00C67E9B">
        <w:rPr>
          <w:rFonts w:asciiTheme="minorHAnsi" w:hAnsiTheme="minorHAnsi" w:cstheme="minorHAnsi"/>
          <w:iCs/>
          <w:sz w:val="22"/>
          <w:szCs w:val="22"/>
        </w:rPr>
        <w:t>tłumacz</w:t>
      </w:r>
      <w:r w:rsidRPr="00C67E9B">
        <w:rPr>
          <w:rFonts w:asciiTheme="minorHAnsi" w:hAnsiTheme="minorHAnsi" w:cstheme="minorHAnsi"/>
          <w:i/>
          <w:iCs/>
          <w:sz w:val="22"/>
          <w:szCs w:val="22"/>
        </w:rPr>
        <w:t xml:space="preserve">y </w:t>
      </w:r>
      <w:r w:rsidRPr="00C67E9B">
        <w:rPr>
          <w:rFonts w:asciiTheme="minorHAnsi" w:hAnsiTheme="minorHAnsi" w:cstheme="minorHAnsi"/>
          <w:b/>
          <w:sz w:val="22"/>
          <w:szCs w:val="22"/>
        </w:rPr>
        <w:t>Marek Osiński, Prezes Zarządu DMG MORI Polska.</w:t>
      </w:r>
    </w:p>
    <w:p w:rsidR="00EC4EB5" w:rsidRPr="00C67E9B" w:rsidRDefault="00EC4EB5" w:rsidP="00EC4EB5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67E9B">
        <w:rPr>
          <w:rFonts w:asciiTheme="minorHAnsi" w:hAnsiTheme="minorHAnsi" w:cstheme="minorHAnsi"/>
          <w:b/>
          <w:sz w:val="22"/>
          <w:szCs w:val="22"/>
        </w:rPr>
        <w:t>Demokratyzacja nowych technologii</w:t>
      </w:r>
    </w:p>
    <w:p w:rsidR="00EC4EB5" w:rsidRPr="00C67E9B" w:rsidRDefault="00EC4EB5" w:rsidP="00EC4EB5">
      <w:pPr>
        <w:jc w:val="both"/>
        <w:rPr>
          <w:rFonts w:asciiTheme="minorHAnsi" w:hAnsiTheme="minorHAnsi" w:cstheme="minorHAnsi"/>
          <w:sz w:val="22"/>
          <w:szCs w:val="22"/>
        </w:rPr>
      </w:pPr>
      <w:r w:rsidRPr="00C67E9B">
        <w:rPr>
          <w:rFonts w:asciiTheme="minorHAnsi" w:hAnsiTheme="minorHAnsi" w:cstheme="minorHAnsi"/>
          <w:sz w:val="22"/>
          <w:szCs w:val="22"/>
        </w:rPr>
        <w:t>O automatyzacji i cyfryzacji warto rozmawiać nie tylko w kontekście wielkich inwestycji, ale także mniejszych projektów. Świadczą o tym statystyki, które wskazują, że zainteresowanie nowymi technologiami w sektorze MŚP jest duże, jednak decyzje o inwestycjach ograniczają obawy m.in. o zbyt wysoki próg wejścia czy długie oczekiwanie na zwrot poniesionych nakładów.</w:t>
      </w:r>
    </w:p>
    <w:p w:rsidR="00EC4EB5" w:rsidRPr="00C67E9B" w:rsidRDefault="00EC4EB5" w:rsidP="00EC4EB5">
      <w:pPr>
        <w:jc w:val="both"/>
        <w:rPr>
          <w:rFonts w:asciiTheme="minorHAnsi" w:hAnsiTheme="minorHAnsi" w:cstheme="minorHAnsi"/>
          <w:sz w:val="22"/>
          <w:szCs w:val="22"/>
        </w:rPr>
      </w:pPr>
      <w:r w:rsidRPr="00C67E9B">
        <w:rPr>
          <w:rFonts w:asciiTheme="minorHAnsi" w:hAnsiTheme="minorHAnsi" w:cstheme="minorHAnsi"/>
          <w:sz w:val="22"/>
          <w:szCs w:val="22"/>
        </w:rPr>
        <w:t xml:space="preserve">Wydarzenie pt. </w:t>
      </w:r>
      <w:r w:rsidRPr="00C67E9B">
        <w:rPr>
          <w:rFonts w:asciiTheme="minorHAnsi" w:hAnsiTheme="minorHAnsi" w:cstheme="minorHAnsi"/>
          <w:b/>
          <w:sz w:val="22"/>
          <w:szCs w:val="22"/>
        </w:rPr>
        <w:t>„Automatyzacja i cyfryzacja dla każdego” (13.04.2021 r.)</w:t>
      </w:r>
      <w:r w:rsidRPr="00C67E9B">
        <w:rPr>
          <w:rFonts w:asciiTheme="minorHAnsi" w:hAnsiTheme="minorHAnsi" w:cstheme="minorHAnsi"/>
          <w:sz w:val="22"/>
          <w:szCs w:val="22"/>
        </w:rPr>
        <w:t xml:space="preserve"> to odpowiedź liderów rynku na zapotrzebowanie sektora MŚP na rzetelną wiedzę w zakresie nowych technologii, a także szansa na bezpośrednie konsultacje z przedstawicielami znanych firm.</w:t>
      </w:r>
    </w:p>
    <w:p w:rsidR="00EC4EB5" w:rsidRPr="00C67E9B" w:rsidRDefault="00EC4EB5" w:rsidP="00EC4EB5">
      <w:pPr>
        <w:jc w:val="both"/>
        <w:rPr>
          <w:rFonts w:asciiTheme="minorHAnsi" w:hAnsiTheme="minorHAnsi" w:cstheme="minorHAnsi"/>
          <w:sz w:val="22"/>
          <w:szCs w:val="22"/>
        </w:rPr>
      </w:pPr>
      <w:r w:rsidRPr="00C67E9B">
        <w:rPr>
          <w:rFonts w:asciiTheme="minorHAnsi" w:hAnsiTheme="minorHAnsi" w:cstheme="minorHAnsi"/>
          <w:b/>
          <w:sz w:val="22"/>
          <w:szCs w:val="22"/>
        </w:rPr>
        <w:t xml:space="preserve">Link do rejestracji: </w:t>
      </w:r>
      <w:hyperlink r:id="rId9" w:history="1">
        <w:r w:rsidRPr="00C67E9B">
          <w:rPr>
            <w:rStyle w:val="Hipercze"/>
            <w:rFonts w:asciiTheme="minorHAnsi" w:hAnsiTheme="minorHAnsi" w:cstheme="minorHAnsi"/>
            <w:sz w:val="22"/>
            <w:szCs w:val="22"/>
          </w:rPr>
          <w:t>https://showroom.itm-europe.pl/</w:t>
        </w:r>
      </w:hyperlink>
    </w:p>
    <w:p w:rsidR="00EC4EB5" w:rsidRPr="00C67E9B" w:rsidRDefault="00EC4EB5" w:rsidP="00EC4E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E9B">
        <w:rPr>
          <w:rFonts w:asciiTheme="minorHAnsi" w:hAnsiTheme="minorHAnsi" w:cstheme="minorHAnsi"/>
          <w:i/>
          <w:sz w:val="22"/>
          <w:szCs w:val="22"/>
        </w:rPr>
        <w:t xml:space="preserve">– Żyjemy w czasach szybko postępującej digitalizacji, w których komputery i roboty wykonują zadania zaliczane niegdyś do domeny science </w:t>
      </w:r>
      <w:proofErr w:type="spellStart"/>
      <w:r w:rsidRPr="00C67E9B">
        <w:rPr>
          <w:rFonts w:asciiTheme="minorHAnsi" w:hAnsiTheme="minorHAnsi" w:cstheme="minorHAnsi"/>
          <w:i/>
          <w:sz w:val="22"/>
          <w:szCs w:val="22"/>
        </w:rPr>
        <w:t>fiction</w:t>
      </w:r>
      <w:proofErr w:type="spellEnd"/>
      <w:r w:rsidRPr="00C67E9B">
        <w:rPr>
          <w:rFonts w:asciiTheme="minorHAnsi" w:hAnsiTheme="minorHAnsi" w:cstheme="minorHAnsi"/>
          <w:i/>
          <w:sz w:val="22"/>
          <w:szCs w:val="22"/>
        </w:rPr>
        <w:t xml:space="preserve">. Technologia ta zapowiada nadejście kolejnej rewolucji przemysłowej. Spotkanie „Automatyzacja i cyfryzacja dla każdego” to doskonała szansa na pokonanie wyzwań oraz ograniczenie marnotrawstwa zasobów, czasu i danych poprzez cyfryzacje procesów obróbkowych z </w:t>
      </w:r>
      <w:proofErr w:type="spellStart"/>
      <w:r w:rsidRPr="00C67E9B">
        <w:rPr>
          <w:rFonts w:asciiTheme="minorHAnsi" w:hAnsiTheme="minorHAnsi" w:cstheme="minorHAnsi"/>
          <w:i/>
          <w:sz w:val="22"/>
          <w:szCs w:val="22"/>
        </w:rPr>
        <w:t>CoroPlus</w:t>
      </w:r>
      <w:proofErr w:type="spellEnd"/>
      <w:r w:rsidRPr="00C67E9B">
        <w:rPr>
          <w:rFonts w:asciiTheme="minorHAnsi" w:hAnsiTheme="minorHAnsi" w:cstheme="minorHAnsi"/>
          <w:i/>
          <w:sz w:val="22"/>
          <w:szCs w:val="22"/>
        </w:rPr>
        <w:t xml:space="preserve">® </w:t>
      </w:r>
      <w:r w:rsidRPr="00C67E9B">
        <w:rPr>
          <w:rFonts w:asciiTheme="minorHAnsi" w:hAnsiTheme="minorHAnsi" w:cstheme="minorHAnsi"/>
          <w:sz w:val="22"/>
          <w:szCs w:val="22"/>
        </w:rPr>
        <w:t xml:space="preserve">– mówi </w:t>
      </w:r>
      <w:r w:rsidRPr="00C67E9B">
        <w:rPr>
          <w:rFonts w:asciiTheme="minorHAnsi" w:hAnsiTheme="minorHAnsi" w:cstheme="minorHAnsi"/>
          <w:b/>
          <w:sz w:val="22"/>
          <w:szCs w:val="22"/>
        </w:rPr>
        <w:t xml:space="preserve">Michał Niemiec, </w:t>
      </w:r>
      <w:proofErr w:type="spellStart"/>
      <w:r w:rsidRPr="00C67E9B">
        <w:rPr>
          <w:rFonts w:asciiTheme="minorHAnsi" w:hAnsiTheme="minorHAnsi" w:cstheme="minorHAnsi"/>
          <w:b/>
          <w:sz w:val="22"/>
          <w:szCs w:val="22"/>
        </w:rPr>
        <w:t>Account</w:t>
      </w:r>
      <w:proofErr w:type="spellEnd"/>
      <w:r w:rsidRPr="00C67E9B">
        <w:rPr>
          <w:rFonts w:asciiTheme="minorHAnsi" w:hAnsiTheme="minorHAnsi" w:cstheme="minorHAnsi"/>
          <w:b/>
          <w:sz w:val="22"/>
          <w:szCs w:val="22"/>
        </w:rPr>
        <w:t xml:space="preserve"> Manager </w:t>
      </w:r>
      <w:proofErr w:type="spellStart"/>
      <w:r w:rsidRPr="00C67E9B">
        <w:rPr>
          <w:rFonts w:asciiTheme="minorHAnsi" w:hAnsiTheme="minorHAnsi" w:cstheme="minorHAnsi"/>
          <w:b/>
          <w:sz w:val="22"/>
          <w:szCs w:val="22"/>
        </w:rPr>
        <w:t>Die&amp;Mould</w:t>
      </w:r>
      <w:proofErr w:type="spellEnd"/>
      <w:r w:rsidRPr="00C67E9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C67E9B">
        <w:rPr>
          <w:rFonts w:asciiTheme="minorHAnsi" w:hAnsiTheme="minorHAnsi" w:cstheme="minorHAnsi"/>
          <w:b/>
          <w:sz w:val="22"/>
          <w:szCs w:val="22"/>
        </w:rPr>
        <w:t>Sandvik</w:t>
      </w:r>
      <w:proofErr w:type="spellEnd"/>
      <w:r w:rsidRPr="00C67E9B">
        <w:rPr>
          <w:rFonts w:asciiTheme="minorHAnsi" w:hAnsiTheme="minorHAnsi" w:cstheme="minorHAnsi"/>
          <w:b/>
          <w:sz w:val="22"/>
          <w:szCs w:val="22"/>
        </w:rPr>
        <w:t xml:space="preserve"> Polska.</w:t>
      </w:r>
    </w:p>
    <w:p w:rsidR="00EC4EB5" w:rsidRPr="00C67E9B" w:rsidRDefault="00EC4EB5" w:rsidP="00EC4EB5">
      <w:pPr>
        <w:jc w:val="both"/>
        <w:rPr>
          <w:rFonts w:asciiTheme="minorHAnsi" w:hAnsiTheme="minorHAnsi" w:cstheme="minorHAnsi"/>
          <w:sz w:val="22"/>
          <w:szCs w:val="22"/>
        </w:rPr>
      </w:pPr>
      <w:r w:rsidRPr="00C67E9B">
        <w:rPr>
          <w:rFonts w:asciiTheme="minorHAnsi" w:hAnsiTheme="minorHAnsi" w:cstheme="minorHAnsi"/>
          <w:sz w:val="22"/>
          <w:szCs w:val="22"/>
        </w:rPr>
        <w:t>W okresie, gdy utrudnione są spotkania na żywo, a imprezy branżowe i targi nie odbywają się w tradycyjnej formule, tym bardziej przydatne mogą okazać się tego inicjatywy.</w:t>
      </w:r>
    </w:p>
    <w:p w:rsidR="00EC4EB5" w:rsidRPr="00C67E9B" w:rsidRDefault="00EC4EB5" w:rsidP="00EC4E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E9B">
        <w:rPr>
          <w:rFonts w:asciiTheme="minorHAnsi" w:hAnsiTheme="minorHAnsi" w:cstheme="minorHAnsi"/>
          <w:sz w:val="22"/>
          <w:szCs w:val="22"/>
        </w:rPr>
        <w:t xml:space="preserve">– </w:t>
      </w:r>
      <w:r w:rsidRPr="00C67E9B">
        <w:rPr>
          <w:rFonts w:asciiTheme="minorHAnsi" w:hAnsiTheme="minorHAnsi" w:cstheme="minorHAnsi"/>
          <w:i/>
          <w:sz w:val="22"/>
          <w:szCs w:val="22"/>
        </w:rPr>
        <w:t xml:space="preserve">W dzisiejszych czasach cały świat opiera się na nowych technologiach, automatyzacji czy cyfryzacji. Spotkanie pt. ,,Automatyzacja i cyfryzacja dla każdego’’ daje nam nowe spojrzenie na przyszłość procesów produkcyjnych. </w:t>
      </w:r>
      <w:r>
        <w:rPr>
          <w:rFonts w:asciiTheme="minorHAnsi" w:hAnsiTheme="minorHAnsi" w:cstheme="minorHAnsi"/>
          <w:i/>
          <w:sz w:val="22"/>
          <w:szCs w:val="22"/>
        </w:rPr>
        <w:t>Innowacyjne rozwiązania n</w:t>
      </w:r>
      <w:r w:rsidRPr="00C67E9B">
        <w:rPr>
          <w:rFonts w:asciiTheme="minorHAnsi" w:hAnsiTheme="minorHAnsi" w:cstheme="minorHAnsi"/>
          <w:i/>
          <w:sz w:val="22"/>
          <w:szCs w:val="22"/>
        </w:rPr>
        <w:t>ie tylko pozwala</w:t>
      </w:r>
      <w:r>
        <w:rPr>
          <w:rFonts w:asciiTheme="minorHAnsi" w:hAnsiTheme="minorHAnsi" w:cstheme="minorHAnsi"/>
          <w:i/>
          <w:sz w:val="22"/>
          <w:szCs w:val="22"/>
        </w:rPr>
        <w:t>ją</w:t>
      </w:r>
      <w:r w:rsidRPr="00C67E9B">
        <w:rPr>
          <w:rFonts w:asciiTheme="minorHAnsi" w:hAnsiTheme="minorHAnsi" w:cstheme="minorHAnsi"/>
          <w:i/>
          <w:sz w:val="22"/>
          <w:szCs w:val="22"/>
        </w:rPr>
        <w:t xml:space="preserve"> na ograniczenie kosztów produkcyjnych, przy jednoczesnym zwiększeni</w:t>
      </w:r>
      <w:r>
        <w:rPr>
          <w:rFonts w:asciiTheme="minorHAnsi" w:hAnsiTheme="minorHAnsi" w:cstheme="minorHAnsi"/>
          <w:i/>
          <w:sz w:val="22"/>
          <w:szCs w:val="22"/>
        </w:rPr>
        <w:t>u efektywności, ale również dają</w:t>
      </w:r>
      <w:r w:rsidRPr="00C67E9B">
        <w:rPr>
          <w:rFonts w:asciiTheme="minorHAnsi" w:hAnsiTheme="minorHAnsi" w:cstheme="minorHAnsi"/>
          <w:i/>
          <w:sz w:val="22"/>
          <w:szCs w:val="22"/>
        </w:rPr>
        <w:t xml:space="preserve"> najwyższą jakość wyprodukowanych elementów</w:t>
      </w:r>
      <w:r w:rsidRPr="00C67E9B">
        <w:rPr>
          <w:rFonts w:asciiTheme="minorHAnsi" w:hAnsiTheme="minorHAnsi" w:cstheme="minorHAnsi"/>
          <w:sz w:val="22"/>
          <w:szCs w:val="22"/>
        </w:rPr>
        <w:t xml:space="preserve"> – dodaje </w:t>
      </w:r>
      <w:r w:rsidRPr="00C67E9B">
        <w:rPr>
          <w:rFonts w:asciiTheme="minorHAnsi" w:hAnsiTheme="minorHAnsi" w:cstheme="minorHAnsi"/>
          <w:b/>
          <w:sz w:val="22"/>
          <w:szCs w:val="22"/>
        </w:rPr>
        <w:t xml:space="preserve">Adam Banaszczak, Prezes Zarządu POLARIS ENGINEERING. </w:t>
      </w:r>
    </w:p>
    <w:p w:rsidR="00EC4EB5" w:rsidRPr="00C67E9B" w:rsidRDefault="00EC4EB5" w:rsidP="00EC4EB5">
      <w:pPr>
        <w:jc w:val="both"/>
        <w:rPr>
          <w:rFonts w:asciiTheme="minorHAnsi" w:hAnsiTheme="minorHAnsi" w:cstheme="minorHAnsi"/>
          <w:sz w:val="22"/>
          <w:szCs w:val="22"/>
        </w:rPr>
      </w:pPr>
      <w:r w:rsidRPr="00C67E9B">
        <w:rPr>
          <w:rFonts w:asciiTheme="minorHAnsi" w:hAnsiTheme="minorHAnsi" w:cstheme="minorHAnsi"/>
          <w:b/>
          <w:sz w:val="22"/>
          <w:szCs w:val="22"/>
        </w:rPr>
        <w:t>MŚP chętne na automatyzację i cyfryzację</w:t>
      </w:r>
    </w:p>
    <w:p w:rsidR="00EC4EB5" w:rsidRPr="00C67E9B" w:rsidRDefault="00EC4EB5" w:rsidP="00EC4EB5">
      <w:pPr>
        <w:jc w:val="both"/>
        <w:rPr>
          <w:rFonts w:asciiTheme="minorHAnsi" w:hAnsiTheme="minorHAnsi" w:cstheme="minorHAnsi"/>
          <w:sz w:val="22"/>
          <w:szCs w:val="22"/>
        </w:rPr>
      </w:pPr>
      <w:r w:rsidRPr="00C67E9B">
        <w:rPr>
          <w:rFonts w:asciiTheme="minorHAnsi" w:hAnsiTheme="minorHAnsi" w:cstheme="minorHAnsi"/>
          <w:i/>
          <w:sz w:val="22"/>
          <w:szCs w:val="22"/>
        </w:rPr>
        <w:t>–</w:t>
      </w:r>
      <w:r w:rsidRPr="00C67E9B">
        <w:rPr>
          <w:rFonts w:asciiTheme="minorHAnsi" w:hAnsiTheme="minorHAnsi" w:cstheme="minorHAnsi"/>
          <w:sz w:val="22"/>
          <w:szCs w:val="22"/>
        </w:rPr>
        <w:t xml:space="preserve"> </w:t>
      </w:r>
      <w:r w:rsidRPr="00C67E9B">
        <w:rPr>
          <w:rFonts w:asciiTheme="minorHAnsi" w:hAnsiTheme="minorHAnsi" w:cstheme="minorHAnsi"/>
          <w:i/>
          <w:sz w:val="22"/>
          <w:szCs w:val="22"/>
        </w:rPr>
        <w:t xml:space="preserve">Statystyki nie kłamią. Zainteresowanie robotyzacją i automatyzacją w przemyśle rośnie z roku na rok. Jeszcze kilka lat temu małe i średnie firmy podchodziły do tego typu rozwiązań z dużym </w:t>
      </w:r>
      <w:r w:rsidRPr="00C67E9B">
        <w:rPr>
          <w:rFonts w:asciiTheme="minorHAnsi" w:hAnsiTheme="minorHAnsi" w:cstheme="minorHAnsi"/>
          <w:i/>
          <w:sz w:val="22"/>
          <w:szCs w:val="22"/>
        </w:rPr>
        <w:lastRenderedPageBreak/>
        <w:t xml:space="preserve">dystansem. Wdrożenie robotów w zakładzie produkcyjnym wiązało się według przedsiębiorców z dużymi nakładami finansowymi oraz ryzykiem inwestycyjnym. Podczas takich spotkań, jak ,,Automatyzacja i cyfryzacja dla każdego’’ udowadniamy, że nowoczesne technologie są dla wszystkich. Sztuka polega na określeniu faktycznych potrzeb biznesu i dostosowaniu rozwiązania, które przyniesie oczekiwane efekty </w:t>
      </w:r>
      <w:r w:rsidRPr="00C67E9B">
        <w:rPr>
          <w:rFonts w:asciiTheme="minorHAnsi" w:hAnsiTheme="minorHAnsi" w:cstheme="minorHAnsi"/>
          <w:sz w:val="22"/>
          <w:szCs w:val="22"/>
        </w:rPr>
        <w:t xml:space="preserve">– objaśnia </w:t>
      </w:r>
      <w:r w:rsidRPr="00C67E9B">
        <w:rPr>
          <w:rFonts w:asciiTheme="minorHAnsi" w:hAnsiTheme="minorHAnsi" w:cstheme="minorHAnsi"/>
          <w:b/>
          <w:sz w:val="22"/>
          <w:szCs w:val="22"/>
        </w:rPr>
        <w:t>Tomasz Nowak, Dyrektor KUKA Polska.</w:t>
      </w:r>
      <w:r w:rsidRPr="00C67E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4EB5" w:rsidRPr="00C67E9B" w:rsidRDefault="00EC4EB5" w:rsidP="00EC4EB5">
      <w:pPr>
        <w:jc w:val="both"/>
        <w:rPr>
          <w:rFonts w:asciiTheme="minorHAnsi" w:hAnsiTheme="minorHAnsi" w:cstheme="minorHAnsi"/>
          <w:sz w:val="22"/>
          <w:szCs w:val="22"/>
        </w:rPr>
      </w:pPr>
      <w:r w:rsidRPr="00C67E9B">
        <w:rPr>
          <w:rFonts w:asciiTheme="minorHAnsi" w:hAnsiTheme="minorHAnsi" w:cstheme="minorHAnsi"/>
          <w:sz w:val="22"/>
          <w:szCs w:val="22"/>
        </w:rPr>
        <w:t>Aż 1/3 małych i średnich przedsiębiorstw produkcyjnych jest zdania, że w transformacji cyfrowej kluczowe są automatyzacja i cyfryzacja procesów. Firmy z tego sektora wprowadzają technologie przemysłu 4.0, aby poprawić terminowość realizacji zamówień, zwiększyć wydajność i podnieść jakość zarządzania dzięki precyzyjnemu zbieraniu danych i ich analizie. Co czwarte badane przedsiębiorstwo planuje zwiększyć budżet na digitalizację, cyfryzację i automatyzację. Zauważalna jest jednak pewna niepewność jutra – przedsiębiorcy nie potrafią przewidzieć, jakie realia gospodarcze czekają ich branże w bieżącym roku</w:t>
      </w:r>
      <w:r w:rsidRPr="00C67E9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C67E9B">
        <w:rPr>
          <w:rFonts w:asciiTheme="minorHAnsi" w:hAnsiTheme="minorHAnsi" w:cstheme="minorHAnsi"/>
          <w:sz w:val="22"/>
          <w:szCs w:val="22"/>
        </w:rPr>
        <w:t>.</w:t>
      </w:r>
    </w:p>
    <w:p w:rsidR="00EC4EB5" w:rsidRPr="00C67E9B" w:rsidRDefault="00EC4EB5" w:rsidP="00EC4EB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67E9B">
        <w:rPr>
          <w:rFonts w:asciiTheme="minorHAnsi" w:hAnsiTheme="minorHAnsi" w:cstheme="minorHAnsi"/>
          <w:i/>
          <w:sz w:val="22"/>
          <w:szCs w:val="22"/>
        </w:rPr>
        <w:t xml:space="preserve">– W rozmowach z naszymi wystawcami i partnerami biznesowymi zauważamy, że implementacja rozwiązań z zakresu przemysłu 4.0 pomaga wielu firmom wyjść obronną ręką z kryzysu kadrowego czy trudnej sytuacji związanej z pandemią – </w:t>
      </w:r>
      <w:r w:rsidRPr="00C67E9B">
        <w:rPr>
          <w:rFonts w:asciiTheme="minorHAnsi" w:hAnsiTheme="minorHAnsi" w:cstheme="minorHAnsi"/>
          <w:sz w:val="22"/>
          <w:szCs w:val="22"/>
        </w:rPr>
        <w:t xml:space="preserve">komentuje </w:t>
      </w:r>
      <w:r w:rsidRPr="00C67E9B">
        <w:rPr>
          <w:rFonts w:asciiTheme="minorHAnsi" w:hAnsiTheme="minorHAnsi" w:cstheme="minorHAnsi"/>
          <w:b/>
          <w:sz w:val="22"/>
          <w:szCs w:val="22"/>
        </w:rPr>
        <w:t xml:space="preserve">Anna Lemańska-Kramer, Dyrektor Targów ITM </w:t>
      </w:r>
      <w:proofErr w:type="spellStart"/>
      <w:r w:rsidRPr="00C67E9B">
        <w:rPr>
          <w:rFonts w:asciiTheme="minorHAnsi" w:hAnsiTheme="minorHAnsi" w:cstheme="minorHAnsi"/>
          <w:b/>
          <w:sz w:val="22"/>
          <w:szCs w:val="22"/>
        </w:rPr>
        <w:t>Industry</w:t>
      </w:r>
      <w:proofErr w:type="spellEnd"/>
      <w:r w:rsidRPr="00C67E9B">
        <w:rPr>
          <w:rFonts w:asciiTheme="minorHAnsi" w:hAnsiTheme="minorHAnsi" w:cstheme="minorHAnsi"/>
          <w:b/>
          <w:sz w:val="22"/>
          <w:szCs w:val="22"/>
        </w:rPr>
        <w:t xml:space="preserve"> Europe</w:t>
      </w:r>
      <w:r w:rsidRPr="00C67E9B">
        <w:rPr>
          <w:rFonts w:asciiTheme="minorHAnsi" w:hAnsiTheme="minorHAnsi" w:cstheme="minorHAnsi"/>
          <w:sz w:val="22"/>
          <w:szCs w:val="22"/>
        </w:rPr>
        <w:t xml:space="preserve">. – </w:t>
      </w:r>
      <w:r w:rsidRPr="00C67E9B">
        <w:rPr>
          <w:rFonts w:asciiTheme="minorHAnsi" w:hAnsiTheme="minorHAnsi" w:cstheme="minorHAnsi"/>
          <w:i/>
          <w:sz w:val="22"/>
          <w:szCs w:val="22"/>
        </w:rPr>
        <w:t xml:space="preserve">Tym bardziej cenne są inicjatywy, które pozwalają zdobyć rzetelną dawkę wiedzy na temat realnych kosztów i oczekiwanych zwrotów z inwestycji w automatyzację i cyfryzację. Z radością włączyliśmy się w realizację projektu, który ma na celu m.in. obalenie niesłusznego przekonania, że są to rozwiązania tylko dla dużych graczy. </w:t>
      </w:r>
    </w:p>
    <w:p w:rsidR="00EC4EB5" w:rsidRPr="00C67E9B" w:rsidRDefault="00EC4EB5" w:rsidP="00EC4E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E9B">
        <w:rPr>
          <w:rFonts w:asciiTheme="minorHAnsi" w:hAnsiTheme="minorHAnsi" w:cstheme="minorHAnsi"/>
          <w:b/>
          <w:sz w:val="22"/>
          <w:szCs w:val="22"/>
        </w:rPr>
        <w:t>Wspólny projekt liderów rynku</w:t>
      </w:r>
    </w:p>
    <w:p w:rsidR="00EC4EB5" w:rsidRPr="00C67E9B" w:rsidRDefault="00EC4EB5" w:rsidP="00EC4EB5">
      <w:pPr>
        <w:jc w:val="both"/>
        <w:rPr>
          <w:rFonts w:asciiTheme="minorHAnsi" w:hAnsiTheme="minorHAnsi" w:cstheme="minorHAnsi"/>
          <w:sz w:val="22"/>
          <w:szCs w:val="22"/>
        </w:rPr>
      </w:pPr>
      <w:r w:rsidRPr="00C67E9B">
        <w:rPr>
          <w:rFonts w:asciiTheme="minorHAnsi" w:hAnsiTheme="minorHAnsi" w:cstheme="minorHAnsi"/>
          <w:sz w:val="22"/>
          <w:szCs w:val="22"/>
        </w:rPr>
        <w:t xml:space="preserve">Inicjatywa DMG MORI, KUKA, POLARIS ENGINEERING i SANDVIK COROMANT to pierwszy tego typu projekt na rynku, który zakłada kooperację firm w celu popularyzowania rzetelnej, fachowej wiedzy na temat automatyzacji i cyfryzacji w sektorze MŚP. </w:t>
      </w:r>
    </w:p>
    <w:p w:rsidR="00EC4EB5" w:rsidRPr="00C67E9B" w:rsidRDefault="00EC4EB5" w:rsidP="00EC4E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E9B">
        <w:rPr>
          <w:rFonts w:asciiTheme="minorHAnsi" w:hAnsiTheme="minorHAnsi" w:cstheme="minorHAnsi"/>
          <w:i/>
          <w:sz w:val="22"/>
          <w:szCs w:val="22"/>
        </w:rPr>
        <w:t xml:space="preserve">– </w:t>
      </w:r>
      <w:r w:rsidRPr="00C67E9B">
        <w:rPr>
          <w:rFonts w:asciiTheme="minorHAnsi" w:hAnsiTheme="minorHAnsi" w:cstheme="minorHAnsi"/>
          <w:i/>
          <w:iCs/>
          <w:sz w:val="22"/>
          <w:szCs w:val="22"/>
        </w:rPr>
        <w:t xml:space="preserve">Cyfryzacja i automatyzacja zmieniają nasz świat szybko, radykalnie i bezpowrotnie. Udział w tym procesie, projekcie, platformie to „przyszłość naszego kraju, naszej gospodarki, naszych przedsiębiorstw oraz ich udział w światowym łańcuchu dostaw”. To nasze „być albo nie być”. Naszym obowiązkiem, jest skorzystanie z możliwości, które w ramach projektu dostarcza firma DMG MORI Polska. Staramy się zachęcić naszych obecnych i przyszłych partnerów do skorzystania z nadarzających się, oraz dostępnych dzięki firmie DMG MORI Polska, możliwości. To nie jest wyłącznie „przejście na stronę cyfryzacji” to postęp i przyszłość nas wszystkich. Z DMG MORI możecie uczestniczyć lub kontynuować technologiczny, strukturalny i kulturowy rozwój </w:t>
      </w:r>
      <w:r w:rsidRPr="00C67E9B">
        <w:rPr>
          <w:rFonts w:asciiTheme="minorHAnsi" w:hAnsiTheme="minorHAnsi" w:cstheme="minorHAnsi"/>
          <w:i/>
          <w:sz w:val="22"/>
          <w:szCs w:val="22"/>
        </w:rPr>
        <w:t xml:space="preserve">– </w:t>
      </w:r>
      <w:r w:rsidRPr="00C67E9B">
        <w:rPr>
          <w:rFonts w:asciiTheme="minorHAnsi" w:hAnsiTheme="minorHAnsi" w:cstheme="minorHAnsi"/>
          <w:sz w:val="22"/>
          <w:szCs w:val="22"/>
        </w:rPr>
        <w:t>podsumowuje</w:t>
      </w:r>
      <w:r w:rsidRPr="00C67E9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7E9B">
        <w:rPr>
          <w:rFonts w:asciiTheme="minorHAnsi" w:hAnsiTheme="minorHAnsi" w:cstheme="minorHAnsi"/>
          <w:b/>
          <w:sz w:val="22"/>
          <w:szCs w:val="22"/>
        </w:rPr>
        <w:t>Marek Osiński, Prezes Zarządu DMG MORI Polska.</w:t>
      </w:r>
    </w:p>
    <w:p w:rsidR="00EC4EB5" w:rsidRPr="00C67E9B" w:rsidRDefault="00EC4EB5" w:rsidP="00EC4E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E9B">
        <w:rPr>
          <w:rFonts w:asciiTheme="minorHAnsi" w:hAnsiTheme="minorHAnsi" w:cstheme="minorHAnsi"/>
          <w:b/>
          <w:sz w:val="22"/>
          <w:szCs w:val="22"/>
        </w:rPr>
        <w:t xml:space="preserve">Szczegóły wydarzenia online: </w:t>
      </w:r>
    </w:p>
    <w:p w:rsidR="00EC4EB5" w:rsidRPr="00C67E9B" w:rsidRDefault="00EC4EB5" w:rsidP="00EC4EB5">
      <w:pPr>
        <w:jc w:val="both"/>
        <w:rPr>
          <w:rFonts w:asciiTheme="minorHAnsi" w:hAnsiTheme="minorHAnsi" w:cstheme="minorHAnsi"/>
          <w:sz w:val="22"/>
          <w:szCs w:val="22"/>
        </w:rPr>
      </w:pPr>
      <w:r w:rsidRPr="00C67E9B">
        <w:rPr>
          <w:rFonts w:asciiTheme="minorHAnsi" w:hAnsiTheme="minorHAnsi" w:cstheme="minorHAnsi"/>
          <w:b/>
          <w:sz w:val="22"/>
          <w:szCs w:val="22"/>
        </w:rPr>
        <w:t xml:space="preserve">Temat: </w:t>
      </w:r>
      <w:r w:rsidRPr="00C67E9B">
        <w:rPr>
          <w:rFonts w:asciiTheme="minorHAnsi" w:hAnsiTheme="minorHAnsi" w:cstheme="minorHAnsi"/>
          <w:sz w:val="22"/>
          <w:szCs w:val="22"/>
        </w:rPr>
        <w:t xml:space="preserve">Automatyzacja i cyfryzacja dla każdego </w:t>
      </w:r>
    </w:p>
    <w:p w:rsidR="00EC4EB5" w:rsidRPr="00C67E9B" w:rsidRDefault="00EC4EB5" w:rsidP="00EC4EB5">
      <w:pPr>
        <w:jc w:val="both"/>
        <w:rPr>
          <w:rFonts w:asciiTheme="minorHAnsi" w:hAnsiTheme="minorHAnsi" w:cstheme="minorHAnsi"/>
          <w:sz w:val="22"/>
          <w:szCs w:val="22"/>
        </w:rPr>
      </w:pPr>
      <w:r w:rsidRPr="00C67E9B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Pr="00C67E9B">
        <w:rPr>
          <w:rFonts w:asciiTheme="minorHAnsi" w:hAnsiTheme="minorHAnsi" w:cstheme="minorHAnsi"/>
          <w:sz w:val="22"/>
          <w:szCs w:val="22"/>
        </w:rPr>
        <w:t xml:space="preserve">13 kwietnia 2021 r., transmisja LIVE o godz. 11:00 i 14:00 </w:t>
      </w:r>
    </w:p>
    <w:p w:rsidR="00EC4EB5" w:rsidRPr="00C67E9B" w:rsidRDefault="00EC4EB5" w:rsidP="00EC4E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7E9B">
        <w:rPr>
          <w:rFonts w:asciiTheme="minorHAnsi" w:hAnsiTheme="minorHAnsi" w:cstheme="minorHAnsi"/>
          <w:b/>
          <w:sz w:val="22"/>
          <w:szCs w:val="22"/>
        </w:rPr>
        <w:t xml:space="preserve">Rejestracja: </w:t>
      </w:r>
      <w:hyperlink r:id="rId10" w:history="1">
        <w:r w:rsidRPr="00C67E9B">
          <w:rPr>
            <w:rStyle w:val="Hipercze"/>
            <w:rFonts w:asciiTheme="minorHAnsi" w:hAnsiTheme="minorHAnsi" w:cstheme="minorHAnsi"/>
            <w:sz w:val="22"/>
            <w:szCs w:val="22"/>
          </w:rPr>
          <w:t>https://showroom.itm-europe.pl/</w:t>
        </w:r>
      </w:hyperlink>
      <w:r w:rsidRPr="00C67E9B"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</w:p>
    <w:p w:rsidR="00EC4EB5" w:rsidRPr="00C67E9B" w:rsidRDefault="00EC4EB5" w:rsidP="00EC4EB5">
      <w:pPr>
        <w:jc w:val="both"/>
        <w:rPr>
          <w:rFonts w:asciiTheme="minorHAnsi" w:hAnsiTheme="minorHAnsi" w:cstheme="minorHAnsi"/>
          <w:sz w:val="22"/>
          <w:szCs w:val="22"/>
        </w:rPr>
      </w:pPr>
      <w:r w:rsidRPr="00C67E9B">
        <w:rPr>
          <w:rFonts w:asciiTheme="minorHAnsi" w:hAnsiTheme="minorHAnsi" w:cstheme="minorHAnsi"/>
          <w:sz w:val="22"/>
          <w:szCs w:val="22"/>
        </w:rPr>
        <w:t xml:space="preserve">W programie: </w:t>
      </w:r>
    </w:p>
    <w:p w:rsidR="00EC4EB5" w:rsidRPr="00C67E9B" w:rsidRDefault="00EC4EB5" w:rsidP="00EC4EB5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</w:rPr>
      </w:pPr>
      <w:r w:rsidRPr="00C67E9B">
        <w:rPr>
          <w:rFonts w:asciiTheme="minorHAnsi" w:hAnsiTheme="minorHAnsi" w:cstheme="minorHAnsi"/>
        </w:rPr>
        <w:t>Wystąpienia praktyków z DMG MORI, KUKA, POLARIS ENGINEERING i SANDVIK COROMANT.</w:t>
      </w:r>
    </w:p>
    <w:p w:rsidR="00EC4EB5" w:rsidRPr="00C67E9B" w:rsidRDefault="00EC4EB5" w:rsidP="00EC4EB5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</w:rPr>
      </w:pPr>
      <w:r w:rsidRPr="00C67E9B">
        <w:rPr>
          <w:rFonts w:asciiTheme="minorHAnsi" w:hAnsiTheme="minorHAnsi" w:cstheme="minorHAnsi"/>
        </w:rPr>
        <w:t>Pokaz pracujących maszyn na żywo.</w:t>
      </w:r>
    </w:p>
    <w:p w:rsidR="00EC4EB5" w:rsidRPr="00C67E9B" w:rsidRDefault="00EC4EB5" w:rsidP="00EC4EB5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</w:rPr>
      </w:pPr>
      <w:r w:rsidRPr="00C67E9B">
        <w:rPr>
          <w:rFonts w:asciiTheme="minorHAnsi" w:hAnsiTheme="minorHAnsi" w:cstheme="minorHAnsi"/>
        </w:rPr>
        <w:t xml:space="preserve">Symulacja możliwych rozwiązań. </w:t>
      </w:r>
    </w:p>
    <w:p w:rsidR="00EC4EB5" w:rsidRPr="00C67E9B" w:rsidRDefault="00EC4EB5" w:rsidP="00EC4EB5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</w:rPr>
      </w:pPr>
      <w:r w:rsidRPr="00C67E9B">
        <w:rPr>
          <w:rFonts w:asciiTheme="minorHAnsi" w:hAnsiTheme="minorHAnsi" w:cstheme="minorHAnsi"/>
        </w:rPr>
        <w:t>Prezentacja efektu przed i po – zobacz, co możesz uzyskać dzięki automatyzacji i cyfryzacji.</w:t>
      </w:r>
    </w:p>
    <w:p w:rsidR="00EC4EB5" w:rsidRPr="00C67E9B" w:rsidRDefault="00EC4EB5" w:rsidP="00EC4EB5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</w:rPr>
      </w:pPr>
      <w:r w:rsidRPr="00C67E9B">
        <w:rPr>
          <w:rFonts w:asciiTheme="minorHAnsi" w:hAnsiTheme="minorHAnsi" w:cstheme="minorHAnsi"/>
        </w:rPr>
        <w:t>Automatyzacja i robotyzacja – dowiedz się, jak je przeprowadzić.</w:t>
      </w:r>
    </w:p>
    <w:p w:rsidR="00EC4EB5" w:rsidRPr="00C67E9B" w:rsidRDefault="00EC4EB5" w:rsidP="00EC4EB5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</w:rPr>
      </w:pPr>
      <w:r w:rsidRPr="00C67E9B">
        <w:rPr>
          <w:rFonts w:asciiTheme="minorHAnsi" w:hAnsiTheme="minorHAnsi" w:cstheme="minorHAnsi"/>
        </w:rPr>
        <w:t>Rentowność ROI – jak obliczyć zwrot z inwestycji.</w:t>
      </w:r>
    </w:p>
    <w:p w:rsidR="00EC4EB5" w:rsidRPr="00C67E9B" w:rsidRDefault="00EC4EB5" w:rsidP="00EC4EB5">
      <w:pPr>
        <w:pStyle w:val="Akapitzlis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</w:rPr>
      </w:pPr>
      <w:r w:rsidRPr="00C67E9B">
        <w:rPr>
          <w:rFonts w:asciiTheme="minorHAnsi" w:hAnsiTheme="minorHAnsi" w:cstheme="minorHAnsi"/>
        </w:rPr>
        <w:lastRenderedPageBreak/>
        <w:t xml:space="preserve">Możliwość konsultacji z ekspertami po spotkaniu. </w:t>
      </w:r>
    </w:p>
    <w:p w:rsidR="00EC4EB5" w:rsidRPr="00C67E9B" w:rsidRDefault="00EC4EB5" w:rsidP="00EC4EB5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EC4EB5" w:rsidRDefault="00EC4EB5" w:rsidP="00EC4EB5">
      <w:pPr>
        <w:jc w:val="both"/>
        <w:rPr>
          <w:rFonts w:asciiTheme="minorHAnsi" w:hAnsiTheme="minorHAnsi" w:cstheme="minorHAnsi"/>
          <w:sz w:val="22"/>
          <w:szCs w:val="22"/>
        </w:rPr>
      </w:pPr>
      <w:r w:rsidRPr="00C67E9B">
        <w:rPr>
          <w:rFonts w:asciiTheme="minorHAnsi" w:hAnsiTheme="minorHAnsi" w:cstheme="minorHAnsi"/>
          <w:b/>
          <w:sz w:val="22"/>
          <w:szCs w:val="22"/>
        </w:rPr>
        <w:t>DMG MORI Polska</w:t>
      </w:r>
      <w:r w:rsidRPr="00C67E9B">
        <w:rPr>
          <w:rFonts w:asciiTheme="minorHAnsi" w:hAnsiTheme="minorHAnsi" w:cstheme="minorHAnsi"/>
          <w:sz w:val="22"/>
          <w:szCs w:val="22"/>
        </w:rPr>
        <w:t xml:space="preserve"> oferuje na polskim rynku produkty jednego z wiodących na światowym rynku producentów obrabiarek do metalu, koncernu DMG MORI. Firma zajmuje się zarówno sprzedażą, jak i serwisowaniem obrabiarek st</w:t>
      </w:r>
      <w:r>
        <w:rPr>
          <w:rFonts w:asciiTheme="minorHAnsi" w:hAnsiTheme="minorHAnsi" w:cstheme="minorHAnsi"/>
          <w:sz w:val="22"/>
          <w:szCs w:val="22"/>
        </w:rPr>
        <w:t>erowanych numerycznie. Posiada</w:t>
      </w:r>
      <w:r w:rsidRPr="00C67E9B">
        <w:rPr>
          <w:rFonts w:asciiTheme="minorHAnsi" w:hAnsiTheme="minorHAnsi" w:cstheme="minorHAnsi"/>
          <w:sz w:val="22"/>
          <w:szCs w:val="22"/>
        </w:rPr>
        <w:t xml:space="preserve"> 14 zakładów produkcyjnych, zlokalizowanych w Polsce, Ni</w:t>
      </w:r>
      <w:r>
        <w:rPr>
          <w:rFonts w:asciiTheme="minorHAnsi" w:hAnsiTheme="minorHAnsi" w:cstheme="minorHAnsi"/>
          <w:sz w:val="22"/>
          <w:szCs w:val="22"/>
        </w:rPr>
        <w:t xml:space="preserve">emczech, Włoszech oraz Japonii a także rozbudowaną </w:t>
      </w:r>
      <w:r w:rsidRPr="00C67E9B">
        <w:rPr>
          <w:rFonts w:asciiTheme="minorHAnsi" w:hAnsiTheme="minorHAnsi" w:cstheme="minorHAnsi"/>
          <w:sz w:val="22"/>
          <w:szCs w:val="22"/>
        </w:rPr>
        <w:t>sieć serwisu. Nad płynnością produkcji czuwa 34 inżynierów serwisu oraz 9 inżynierów technologii zlokalizowanych w kilkunastu regionach naszego kraju. Główną strategią DMG MORI Polska jest fachowe dor</w:t>
      </w:r>
      <w:r>
        <w:rPr>
          <w:rFonts w:asciiTheme="minorHAnsi" w:hAnsiTheme="minorHAnsi" w:cstheme="minorHAnsi"/>
          <w:sz w:val="22"/>
          <w:szCs w:val="22"/>
        </w:rPr>
        <w:t xml:space="preserve">adztwo oraz budowanie zaufania </w:t>
      </w:r>
      <w:r w:rsidRPr="00C67E9B">
        <w:rPr>
          <w:rFonts w:asciiTheme="minorHAnsi" w:hAnsiTheme="minorHAnsi" w:cstheme="minorHAnsi"/>
          <w:sz w:val="22"/>
          <w:szCs w:val="22"/>
        </w:rPr>
        <w:t xml:space="preserve">w oparciu o obustronne korzyści. </w:t>
      </w:r>
      <w:r>
        <w:rPr>
          <w:rFonts w:asciiTheme="minorHAnsi" w:hAnsiTheme="minorHAnsi" w:cstheme="minorHAnsi"/>
          <w:sz w:val="22"/>
          <w:szCs w:val="22"/>
        </w:rPr>
        <w:t xml:space="preserve">Misją firmy </w:t>
      </w:r>
      <w:r w:rsidRPr="00C67E9B">
        <w:rPr>
          <w:rFonts w:asciiTheme="minorHAnsi" w:hAnsiTheme="minorHAnsi" w:cstheme="minorHAnsi"/>
          <w:sz w:val="22"/>
          <w:szCs w:val="22"/>
        </w:rPr>
        <w:t>jest ciągłe udoskonalanie procesów obróbki, obniżanie kosztów oraz wzrost poziomu technologicznego.</w:t>
      </w:r>
    </w:p>
    <w:p w:rsidR="00EC4EB5" w:rsidRPr="00C67E9B" w:rsidRDefault="00EC4EB5" w:rsidP="00EC4EB5">
      <w:pPr>
        <w:pStyle w:val="GrupaMTP"/>
        <w:jc w:val="both"/>
      </w:pPr>
    </w:p>
    <w:p w:rsidR="00EC4EB5" w:rsidRPr="00C67E9B" w:rsidRDefault="00EC4EB5" w:rsidP="00EC4EB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67E9B">
        <w:rPr>
          <w:rFonts w:asciiTheme="minorHAnsi" w:hAnsiTheme="minorHAnsi" w:cstheme="minorHAnsi"/>
          <w:b/>
          <w:sz w:val="22"/>
          <w:szCs w:val="22"/>
        </w:rPr>
        <w:t xml:space="preserve">KUKA </w:t>
      </w:r>
      <w:r w:rsidRPr="00C67E9B">
        <w:rPr>
          <w:rFonts w:asciiTheme="minorHAnsi" w:hAnsiTheme="minorHAnsi" w:cstheme="minorHAnsi"/>
          <w:sz w:val="22"/>
          <w:szCs w:val="22"/>
        </w:rPr>
        <w:t>to jeden z wiodących producentów inteligentnych rozwiązań automatyzacyjnych oraz światowy lider w dziedzinie robotów przemysłowych (3-1300 kg udźwigu), mobilnych i współpracujących. Polski oddział KUKA od ponad 10 lat wspiera lokalnych przedsiębiorców w robotyzacji procesów przemysłowych. Inżynierowie i specjaliści KUKA Polska odpowiadają za sprzedaż, doradztwo, zapewniają całodobowe wsparcie techniczne, a także organizują szkolenia na najwyższym poziomie.</w:t>
      </w:r>
      <w:bookmarkStart w:id="0" w:name="_GoBack"/>
      <w:bookmarkEnd w:id="0"/>
    </w:p>
    <w:p w:rsidR="00EC4EB5" w:rsidRPr="00C67E9B" w:rsidRDefault="00EC4EB5" w:rsidP="00EC4EB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C4EB5" w:rsidRDefault="00EC4EB5" w:rsidP="00EC4EB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67E9B">
        <w:rPr>
          <w:rFonts w:asciiTheme="minorHAnsi" w:hAnsiTheme="minorHAnsi" w:cstheme="minorHAnsi"/>
          <w:b/>
          <w:sz w:val="22"/>
          <w:szCs w:val="22"/>
        </w:rPr>
        <w:t>Polaris</w:t>
      </w:r>
      <w:proofErr w:type="spellEnd"/>
      <w:r w:rsidRPr="00C67E9B">
        <w:rPr>
          <w:rFonts w:asciiTheme="minorHAnsi" w:hAnsiTheme="minorHAnsi" w:cstheme="minorHAnsi"/>
          <w:b/>
          <w:sz w:val="22"/>
          <w:szCs w:val="22"/>
        </w:rPr>
        <w:t xml:space="preserve"> ENGINEERING</w:t>
      </w:r>
      <w:r w:rsidRPr="00C67E9B">
        <w:rPr>
          <w:rFonts w:asciiTheme="minorHAnsi" w:hAnsiTheme="minorHAnsi" w:cstheme="minorHAnsi"/>
          <w:sz w:val="22"/>
          <w:szCs w:val="22"/>
        </w:rPr>
        <w:t xml:space="preserve"> funkcjonuje na polskim rynku od prawie 30 lat. W 1993 r. firma rozpoczęła działalność w branży przemysłowej, koncentrując się na wybranych obszarach technologii. Dzięki zaangażowaniu i wiedzy pracowników firma osiągnęła liczne sukcesy w wdrażaniu najnowszych technologii w przemyśle.</w:t>
      </w:r>
    </w:p>
    <w:p w:rsidR="00EC4EB5" w:rsidRPr="00C67E9B" w:rsidRDefault="00EC4EB5" w:rsidP="00EC4EB5">
      <w:pPr>
        <w:pStyle w:val="GrupaMTP"/>
        <w:jc w:val="both"/>
      </w:pPr>
    </w:p>
    <w:p w:rsidR="00EC4EB5" w:rsidRDefault="00EC4EB5" w:rsidP="00EC4EB5">
      <w:pPr>
        <w:jc w:val="both"/>
        <w:rPr>
          <w:rFonts w:asciiTheme="minorHAnsi" w:hAnsiTheme="minorHAnsi" w:cstheme="minorHAnsi"/>
          <w:sz w:val="22"/>
          <w:szCs w:val="22"/>
        </w:rPr>
      </w:pPr>
      <w:r w:rsidRPr="00C67E9B">
        <w:rPr>
          <w:rFonts w:asciiTheme="minorHAnsi" w:hAnsiTheme="minorHAnsi" w:cstheme="minorHAnsi"/>
          <w:b/>
          <w:sz w:val="22"/>
          <w:szCs w:val="22"/>
        </w:rPr>
        <w:t>SANDVIK COROMANT</w:t>
      </w:r>
      <w:r w:rsidRPr="00C67E9B">
        <w:rPr>
          <w:rFonts w:asciiTheme="minorHAnsi" w:hAnsiTheme="minorHAnsi" w:cstheme="minorHAnsi"/>
          <w:sz w:val="22"/>
          <w:szCs w:val="22"/>
        </w:rPr>
        <w:t xml:space="preserve"> to firma, która rozpoczęła działalność, jako skromny warsztat w szwedzkiej miejscowości </w:t>
      </w:r>
      <w:proofErr w:type="spellStart"/>
      <w:r w:rsidRPr="00C67E9B">
        <w:rPr>
          <w:rFonts w:asciiTheme="minorHAnsi" w:hAnsiTheme="minorHAnsi" w:cstheme="minorHAnsi"/>
          <w:sz w:val="22"/>
          <w:szCs w:val="22"/>
        </w:rPr>
        <w:t>Sandviken</w:t>
      </w:r>
      <w:proofErr w:type="spellEnd"/>
      <w:r w:rsidRPr="00C67E9B">
        <w:rPr>
          <w:rFonts w:asciiTheme="minorHAnsi" w:hAnsiTheme="minorHAnsi" w:cstheme="minorHAnsi"/>
          <w:sz w:val="22"/>
          <w:szCs w:val="22"/>
        </w:rPr>
        <w:t xml:space="preserve"> z czasem przekształciła się w światowego lidera branży. </w:t>
      </w:r>
      <w:r>
        <w:rPr>
          <w:rFonts w:asciiTheme="minorHAnsi" w:hAnsiTheme="minorHAnsi" w:cstheme="minorHAnsi"/>
          <w:sz w:val="22"/>
          <w:szCs w:val="22"/>
        </w:rPr>
        <w:t xml:space="preserve">W „DNA firmy” </w:t>
      </w:r>
      <w:r w:rsidRPr="00C67E9B">
        <w:rPr>
          <w:rFonts w:asciiTheme="minorHAnsi" w:hAnsiTheme="minorHAnsi" w:cstheme="minorHAnsi"/>
          <w:sz w:val="22"/>
          <w:szCs w:val="22"/>
        </w:rPr>
        <w:t>zapisana jest pasja do inżynierii i przesuwania granic możliwości, realizowana zawsze w bliskich relacjach z klientami. Jest ona częścią kultury</w:t>
      </w:r>
      <w:r w:rsidRPr="00C67E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7E9B">
        <w:rPr>
          <w:rFonts w:asciiTheme="minorHAnsi" w:hAnsiTheme="minorHAnsi" w:cstheme="minorHAnsi"/>
          <w:sz w:val="22"/>
          <w:szCs w:val="22"/>
        </w:rPr>
        <w:t>SANDVIK COROMANT od 1942 roku i pozostanie nią w kolejnych latach.</w:t>
      </w:r>
    </w:p>
    <w:p w:rsidR="00EC4EB5" w:rsidRPr="00C67E9B" w:rsidRDefault="00EC4EB5" w:rsidP="00EC4EB5">
      <w:pPr>
        <w:pStyle w:val="GrupaMTP"/>
        <w:jc w:val="both"/>
      </w:pPr>
    </w:p>
    <w:p w:rsidR="00EC4EB5" w:rsidRPr="00C67E9B" w:rsidRDefault="00EC4EB5" w:rsidP="00EC4EB5">
      <w:pPr>
        <w:jc w:val="both"/>
        <w:rPr>
          <w:rFonts w:asciiTheme="minorHAnsi" w:hAnsiTheme="minorHAnsi" w:cstheme="minorHAnsi"/>
          <w:sz w:val="22"/>
          <w:szCs w:val="22"/>
        </w:rPr>
      </w:pPr>
      <w:r w:rsidRPr="00C67E9B">
        <w:rPr>
          <w:rFonts w:asciiTheme="minorHAnsi" w:hAnsiTheme="minorHAnsi" w:cstheme="minorHAnsi"/>
          <w:b/>
          <w:sz w:val="22"/>
          <w:szCs w:val="22"/>
        </w:rPr>
        <w:t>ITM INDUSTRY EUROPE</w:t>
      </w:r>
      <w:r w:rsidRPr="00C67E9B">
        <w:rPr>
          <w:rFonts w:asciiTheme="minorHAnsi" w:hAnsiTheme="minorHAnsi" w:cstheme="minorHAnsi"/>
          <w:sz w:val="22"/>
          <w:szCs w:val="22"/>
        </w:rPr>
        <w:t xml:space="preserve"> to największe i najbardziej znaczące targi przemysłowe w tej części Europy, prezentujące światowe trendy zgodne z ideą Przemysłu 4.0. W tym roku odbędą się </w:t>
      </w:r>
      <w:r w:rsidRPr="00C67E9B">
        <w:rPr>
          <w:rFonts w:asciiTheme="minorHAnsi" w:hAnsiTheme="minorHAnsi" w:cstheme="minorHAnsi"/>
          <w:b/>
          <w:sz w:val="22"/>
          <w:szCs w:val="22"/>
        </w:rPr>
        <w:t xml:space="preserve">31.08-3.09.2021 r. </w:t>
      </w:r>
      <w:r w:rsidRPr="00C67E9B">
        <w:rPr>
          <w:rFonts w:asciiTheme="minorHAnsi" w:hAnsiTheme="minorHAnsi" w:cstheme="minorHAnsi"/>
          <w:sz w:val="22"/>
          <w:szCs w:val="22"/>
        </w:rPr>
        <w:t xml:space="preserve">w formule hybrydowej. Wydarzenie tworzą nie tylko bogate ekspozycje wystawiennicze, ale także liczne konferencje, debaty i szkolenia, w tym w tym pionierski projekt promujący rozwój przemysłu 4.0 Kongres </w:t>
      </w:r>
      <w:proofErr w:type="spellStart"/>
      <w:r w:rsidRPr="00C67E9B">
        <w:rPr>
          <w:rFonts w:asciiTheme="minorHAnsi" w:hAnsiTheme="minorHAnsi" w:cstheme="minorHAnsi"/>
          <w:sz w:val="22"/>
          <w:szCs w:val="22"/>
        </w:rPr>
        <w:t>Industry</w:t>
      </w:r>
      <w:proofErr w:type="spellEnd"/>
      <w:r w:rsidRPr="00C67E9B">
        <w:rPr>
          <w:rFonts w:asciiTheme="minorHAnsi" w:hAnsiTheme="minorHAnsi" w:cstheme="minorHAnsi"/>
          <w:sz w:val="22"/>
          <w:szCs w:val="22"/>
        </w:rPr>
        <w:t xml:space="preserve"> NEXT. The New </w:t>
      </w:r>
      <w:proofErr w:type="spellStart"/>
      <w:r w:rsidRPr="00C67E9B">
        <w:rPr>
          <w:rFonts w:asciiTheme="minorHAnsi" w:hAnsiTheme="minorHAnsi" w:cstheme="minorHAnsi"/>
          <w:sz w:val="22"/>
          <w:szCs w:val="22"/>
        </w:rPr>
        <w:t>Reality</w:t>
      </w:r>
      <w:proofErr w:type="spellEnd"/>
      <w:r w:rsidRPr="00C67E9B">
        <w:rPr>
          <w:rFonts w:asciiTheme="minorHAnsi" w:hAnsiTheme="minorHAnsi" w:cstheme="minorHAnsi"/>
          <w:sz w:val="22"/>
          <w:szCs w:val="22"/>
        </w:rPr>
        <w:t>. Czterodniowy program ITM INDUSTRY EUROPE co roku budowany jest na wiedzy doświadczonych ekspertów oraz wspierany przez kluczowe organizacje, stowarzyszenia i instytucje branży przemysłowej. W tym samym czasie odbywają się także: Targi Logistyki, Magazynowania i Transportu MODERNLOG, 3D SOLU</w:t>
      </w:r>
      <w:r>
        <w:rPr>
          <w:rFonts w:asciiTheme="minorHAnsi" w:hAnsiTheme="minorHAnsi" w:cstheme="minorHAnsi"/>
          <w:sz w:val="22"/>
          <w:szCs w:val="22"/>
        </w:rPr>
        <w:t>TIONS – Targi Druku i Skanu 3D,</w:t>
      </w:r>
      <w:r w:rsidRPr="00C67E9B">
        <w:rPr>
          <w:rFonts w:asciiTheme="minorHAnsi" w:hAnsiTheme="minorHAnsi" w:cstheme="minorHAnsi"/>
          <w:sz w:val="22"/>
          <w:szCs w:val="22"/>
        </w:rPr>
        <w:t xml:space="preserve"> Targi Kooperacji Przemysłowej SUBCONTRACTING oraz Forum Odlewnicze FOCAST.</w:t>
      </w:r>
    </w:p>
    <w:p w:rsidR="00EC4EB5" w:rsidRDefault="00EC4EB5" w:rsidP="00EC4EB5">
      <w:pPr>
        <w:rPr>
          <w:rFonts w:asciiTheme="minorHAnsi" w:hAnsiTheme="minorHAnsi" w:cstheme="minorHAnsi"/>
          <w:sz w:val="22"/>
          <w:szCs w:val="22"/>
        </w:rPr>
      </w:pPr>
    </w:p>
    <w:p w:rsidR="00EC4EB5" w:rsidRPr="009866EF" w:rsidRDefault="00EC4EB5" w:rsidP="00EC4EB5">
      <w:pPr>
        <w:pStyle w:val="GrupaMTP"/>
        <w:rPr>
          <w:rFonts w:asciiTheme="minorHAnsi" w:hAnsiTheme="minorHAnsi" w:cstheme="minorHAnsi"/>
          <w:sz w:val="22"/>
          <w:szCs w:val="22"/>
        </w:rPr>
      </w:pPr>
      <w:r w:rsidRPr="009866EF">
        <w:rPr>
          <w:rFonts w:asciiTheme="minorHAnsi" w:hAnsiTheme="minorHAnsi" w:cstheme="minorHAnsi"/>
          <w:sz w:val="22"/>
          <w:szCs w:val="22"/>
        </w:rPr>
        <w:t xml:space="preserve">Więcej informacji na: </w:t>
      </w:r>
      <w:hyperlink r:id="rId11" w:history="1">
        <w:r w:rsidRPr="009866EF">
          <w:rPr>
            <w:rStyle w:val="Hipercze"/>
            <w:rFonts w:asciiTheme="minorHAnsi" w:hAnsiTheme="minorHAnsi" w:cstheme="minorHAnsi"/>
            <w:sz w:val="22"/>
            <w:szCs w:val="22"/>
          </w:rPr>
          <w:t>https://itm-europe.pl</w:t>
        </w:r>
      </w:hyperlink>
    </w:p>
    <w:p w:rsidR="00EC4EB5" w:rsidRPr="00C67E9B" w:rsidRDefault="00EC4EB5" w:rsidP="00EC4EB5">
      <w:pPr>
        <w:pStyle w:val="GrupaMTP"/>
        <w:rPr>
          <w:rFonts w:asciiTheme="minorHAnsi" w:hAnsiTheme="minorHAnsi" w:cstheme="minorHAnsi"/>
          <w:sz w:val="22"/>
          <w:szCs w:val="22"/>
        </w:rPr>
      </w:pPr>
    </w:p>
    <w:sectPr w:rsidR="00EC4EB5" w:rsidRPr="00C67E9B" w:rsidSect="00073F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DD" w:rsidRDefault="00F315DD" w:rsidP="00073F02">
      <w:r>
        <w:separator/>
      </w:r>
    </w:p>
  </w:endnote>
  <w:endnote w:type="continuationSeparator" w:id="0">
    <w:p w:rsidR="00F315DD" w:rsidRDefault="00F315DD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DD" w:rsidRDefault="00F315DD" w:rsidP="00073F02">
      <w:r>
        <w:separator/>
      </w:r>
    </w:p>
  </w:footnote>
  <w:footnote w:type="continuationSeparator" w:id="0">
    <w:p w:rsidR="00F315DD" w:rsidRDefault="00F315DD" w:rsidP="00073F02">
      <w:r>
        <w:continuationSeparator/>
      </w:r>
    </w:p>
  </w:footnote>
  <w:footnote w:id="1">
    <w:p w:rsidR="00EC4EB5" w:rsidRDefault="00EC4EB5" w:rsidP="00EC4EB5">
      <w:pPr>
        <w:pStyle w:val="Tekstprzypisudolnego"/>
      </w:pPr>
      <w:r>
        <w:rPr>
          <w:rStyle w:val="Odwoanieprzypisudolnego"/>
        </w:rPr>
        <w:footnoteRef/>
      </w:r>
      <w:r>
        <w:t xml:space="preserve"> Raport </w:t>
      </w:r>
      <w:r w:rsidRPr="00B051FC">
        <w:t>„Transformacja technologicz</w:t>
      </w:r>
      <w:r>
        <w:t>na firm w nowej rzeczywistości”, Fundacja ALTUM, luty 2021.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273B47" wp14:editId="1819EBCF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55BDA"/>
    <w:multiLevelType w:val="hybridMultilevel"/>
    <w:tmpl w:val="E550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16C9"/>
    <w:rsid w:val="00126D70"/>
    <w:rsid w:val="00195E40"/>
    <w:rsid w:val="001C0C8C"/>
    <w:rsid w:val="001F70F0"/>
    <w:rsid w:val="0022076F"/>
    <w:rsid w:val="002330AA"/>
    <w:rsid w:val="002D72A6"/>
    <w:rsid w:val="003B442F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7699"/>
    <w:rsid w:val="00566604"/>
    <w:rsid w:val="005F566B"/>
    <w:rsid w:val="00610D36"/>
    <w:rsid w:val="006F3E2A"/>
    <w:rsid w:val="00755C11"/>
    <w:rsid w:val="00763E38"/>
    <w:rsid w:val="008303F4"/>
    <w:rsid w:val="0085674A"/>
    <w:rsid w:val="008A2DD0"/>
    <w:rsid w:val="008D35E7"/>
    <w:rsid w:val="0093224B"/>
    <w:rsid w:val="00954DCC"/>
    <w:rsid w:val="00960FDE"/>
    <w:rsid w:val="009866EF"/>
    <w:rsid w:val="009C6049"/>
    <w:rsid w:val="009D1716"/>
    <w:rsid w:val="00A34995"/>
    <w:rsid w:val="00B02D9D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951"/>
    <w:rsid w:val="00E559DD"/>
    <w:rsid w:val="00EC3CEA"/>
    <w:rsid w:val="00EC4EB5"/>
    <w:rsid w:val="00F3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EB5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E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EB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C4EB5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EB5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E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EB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C4EB5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m-europe.pl/pl/aktualnosci/automatyzacja-i-cyfryzacja-dla-kazdeg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howroom.itm-europe.p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howroom.itm-europe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E74A1F-288C-4744-8AD6-00070E88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1417</Words>
  <Characters>8508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Ewa Gosiewska</cp:lastModifiedBy>
  <cp:revision>4</cp:revision>
  <cp:lastPrinted>2020-08-18T11:48:00Z</cp:lastPrinted>
  <dcterms:created xsi:type="dcterms:W3CDTF">2021-03-30T12:52:00Z</dcterms:created>
  <dcterms:modified xsi:type="dcterms:W3CDTF">2021-03-30T12:52:00Z</dcterms:modified>
</cp:coreProperties>
</file>